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0274C" w14:textId="77777777" w:rsidR="00F33890" w:rsidRDefault="00F33890" w:rsidP="005F0271">
      <w:pPr>
        <w:jc w:val="center"/>
        <w:rPr>
          <w:b/>
          <w:bCs/>
          <w:sz w:val="26"/>
          <w:szCs w:val="26"/>
          <w:rtl/>
        </w:rPr>
      </w:pPr>
      <w:r>
        <w:rPr>
          <w:noProof/>
        </w:rPr>
        <w:drawing>
          <wp:inline distT="0" distB="0" distL="0" distR="0" wp14:anchorId="02F5CB9B" wp14:editId="2A90BBD9">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1AA07809" w14:textId="77777777" w:rsidR="00F33890" w:rsidRDefault="00F33890" w:rsidP="005F0271">
      <w:pPr>
        <w:rPr>
          <w:b/>
          <w:bCs/>
          <w:sz w:val="26"/>
          <w:szCs w:val="26"/>
          <w:rtl/>
        </w:rPr>
      </w:pPr>
      <w:r w:rsidRPr="00CB5068">
        <w:rPr>
          <w:b/>
          <w:bCs/>
          <w:sz w:val="26"/>
          <w:szCs w:val="26"/>
          <w:rtl/>
        </w:rPr>
        <w:t>תוכן עניינים</w:t>
      </w:r>
    </w:p>
    <w:p w14:paraId="15308B0B" w14:textId="0A1A9A87" w:rsidR="00F33890" w:rsidRDefault="00F33890" w:rsidP="00F33890">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61248071" w:history="1">
        <w:r w:rsidRPr="00965599">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Toc61248071 \h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14:paraId="0252E2AB" w14:textId="62DEBC91" w:rsidR="00F33890" w:rsidRDefault="00E030BD" w:rsidP="00F33890">
      <w:pPr>
        <w:pStyle w:val="TOC4"/>
        <w:rPr>
          <w:rFonts w:cstheme="minorBidi"/>
          <w:rtl/>
        </w:rPr>
      </w:pPr>
      <w:hyperlink w:anchor="_Toc61248072" w:history="1">
        <w:r w:rsidR="00F33890" w:rsidRPr="00965599">
          <w:rPr>
            <w:rStyle w:val="Hyperlink"/>
            <w:rtl/>
          </w:rPr>
          <w:t>א. שם הכללים המוצעים</w:t>
        </w:r>
        <w:r w:rsidR="00F33890">
          <w:rPr>
            <w:webHidden/>
            <w:rtl/>
          </w:rPr>
          <w:tab/>
        </w:r>
        <w:r w:rsidR="00F33890">
          <w:rPr>
            <w:webHidden/>
            <w:rtl/>
          </w:rPr>
          <w:fldChar w:fldCharType="begin"/>
        </w:r>
        <w:r w:rsidR="00F33890">
          <w:rPr>
            <w:webHidden/>
            <w:rtl/>
          </w:rPr>
          <w:instrText xml:space="preserve"> </w:instrText>
        </w:r>
        <w:r w:rsidR="00F33890">
          <w:rPr>
            <w:webHidden/>
          </w:rPr>
          <w:instrText>PAGEREF</w:instrText>
        </w:r>
        <w:r w:rsidR="00F33890">
          <w:rPr>
            <w:webHidden/>
            <w:rtl/>
          </w:rPr>
          <w:instrText xml:space="preserve"> _</w:instrText>
        </w:r>
        <w:r w:rsidR="00F33890">
          <w:rPr>
            <w:webHidden/>
          </w:rPr>
          <w:instrText>Toc61248072 \h</w:instrText>
        </w:r>
        <w:r w:rsidR="00F33890">
          <w:rPr>
            <w:webHidden/>
            <w:rtl/>
          </w:rPr>
          <w:instrText xml:space="preserve"> </w:instrText>
        </w:r>
        <w:r w:rsidR="00F33890">
          <w:rPr>
            <w:webHidden/>
            <w:rtl/>
          </w:rPr>
        </w:r>
        <w:r w:rsidR="00F33890">
          <w:rPr>
            <w:webHidden/>
            <w:rtl/>
          </w:rPr>
          <w:fldChar w:fldCharType="separate"/>
        </w:r>
        <w:r w:rsidR="00F33890">
          <w:rPr>
            <w:webHidden/>
            <w:rtl/>
          </w:rPr>
          <w:t>2</w:t>
        </w:r>
        <w:r w:rsidR="00F33890">
          <w:rPr>
            <w:webHidden/>
            <w:rtl/>
          </w:rPr>
          <w:fldChar w:fldCharType="end"/>
        </w:r>
      </w:hyperlink>
    </w:p>
    <w:p w14:paraId="40CE5A0A" w14:textId="4FC865B1" w:rsidR="00F33890" w:rsidRDefault="00E030BD" w:rsidP="00F33890">
      <w:pPr>
        <w:pStyle w:val="TOC4"/>
        <w:rPr>
          <w:rFonts w:cstheme="minorBidi"/>
          <w:rtl/>
        </w:rPr>
      </w:pPr>
      <w:hyperlink w:anchor="_Toc61248073" w:history="1">
        <w:r w:rsidR="00F33890" w:rsidRPr="00965599">
          <w:rPr>
            <w:rStyle w:val="Hyperlink"/>
            <w:rtl/>
          </w:rPr>
          <w:t>ב. מטרת הכללים המוצעים והצורך בהם</w:t>
        </w:r>
        <w:r w:rsidR="00F33890">
          <w:rPr>
            <w:webHidden/>
            <w:rtl/>
          </w:rPr>
          <w:tab/>
        </w:r>
        <w:r w:rsidR="00F33890">
          <w:rPr>
            <w:webHidden/>
            <w:rtl/>
          </w:rPr>
          <w:fldChar w:fldCharType="begin"/>
        </w:r>
        <w:r w:rsidR="00F33890">
          <w:rPr>
            <w:webHidden/>
            <w:rtl/>
          </w:rPr>
          <w:instrText xml:space="preserve"> </w:instrText>
        </w:r>
        <w:r w:rsidR="00F33890">
          <w:rPr>
            <w:webHidden/>
          </w:rPr>
          <w:instrText>PAGEREF</w:instrText>
        </w:r>
        <w:r w:rsidR="00F33890">
          <w:rPr>
            <w:webHidden/>
            <w:rtl/>
          </w:rPr>
          <w:instrText xml:space="preserve"> _</w:instrText>
        </w:r>
        <w:r w:rsidR="00F33890">
          <w:rPr>
            <w:webHidden/>
          </w:rPr>
          <w:instrText>Toc61248073 \h</w:instrText>
        </w:r>
        <w:r w:rsidR="00F33890">
          <w:rPr>
            <w:webHidden/>
            <w:rtl/>
          </w:rPr>
          <w:instrText xml:space="preserve"> </w:instrText>
        </w:r>
        <w:r w:rsidR="00F33890">
          <w:rPr>
            <w:webHidden/>
            <w:rtl/>
          </w:rPr>
        </w:r>
        <w:r w:rsidR="00F33890">
          <w:rPr>
            <w:webHidden/>
            <w:rtl/>
          </w:rPr>
          <w:fldChar w:fldCharType="separate"/>
        </w:r>
        <w:r w:rsidR="00F33890">
          <w:rPr>
            <w:webHidden/>
            <w:rtl/>
          </w:rPr>
          <w:t>2</w:t>
        </w:r>
        <w:r w:rsidR="00F33890">
          <w:rPr>
            <w:webHidden/>
            <w:rtl/>
          </w:rPr>
          <w:fldChar w:fldCharType="end"/>
        </w:r>
      </w:hyperlink>
    </w:p>
    <w:p w14:paraId="47611A03" w14:textId="60DD2690" w:rsidR="00F33890" w:rsidRDefault="00E030BD" w:rsidP="00F33890">
      <w:pPr>
        <w:pStyle w:val="TOC4"/>
        <w:rPr>
          <w:rFonts w:cstheme="minorBidi"/>
          <w:rtl/>
        </w:rPr>
      </w:pPr>
      <w:hyperlink w:anchor="_Toc61248074" w:history="1">
        <w:r w:rsidR="00F33890" w:rsidRPr="00965599">
          <w:rPr>
            <w:rStyle w:val="Hyperlink"/>
            <w:rtl/>
          </w:rPr>
          <w:t>ג. להלן נוסח טיוטת הכללים המוצעים:</w:t>
        </w:r>
        <w:r w:rsidR="00F33890">
          <w:rPr>
            <w:webHidden/>
            <w:rtl/>
          </w:rPr>
          <w:tab/>
        </w:r>
        <w:r w:rsidR="00F33890">
          <w:rPr>
            <w:webHidden/>
            <w:rtl/>
          </w:rPr>
          <w:fldChar w:fldCharType="begin"/>
        </w:r>
        <w:r w:rsidR="00F33890">
          <w:rPr>
            <w:webHidden/>
            <w:rtl/>
          </w:rPr>
          <w:instrText xml:space="preserve"> </w:instrText>
        </w:r>
        <w:r w:rsidR="00F33890">
          <w:rPr>
            <w:webHidden/>
          </w:rPr>
          <w:instrText>PAGEREF</w:instrText>
        </w:r>
        <w:r w:rsidR="00F33890">
          <w:rPr>
            <w:webHidden/>
            <w:rtl/>
          </w:rPr>
          <w:instrText xml:space="preserve"> _</w:instrText>
        </w:r>
        <w:r w:rsidR="00F33890">
          <w:rPr>
            <w:webHidden/>
          </w:rPr>
          <w:instrText>Toc61248074 \h</w:instrText>
        </w:r>
        <w:r w:rsidR="00F33890">
          <w:rPr>
            <w:webHidden/>
            <w:rtl/>
          </w:rPr>
          <w:instrText xml:space="preserve"> </w:instrText>
        </w:r>
        <w:r w:rsidR="00F33890">
          <w:rPr>
            <w:webHidden/>
            <w:rtl/>
          </w:rPr>
        </w:r>
        <w:r w:rsidR="00F33890">
          <w:rPr>
            <w:webHidden/>
            <w:rtl/>
          </w:rPr>
          <w:fldChar w:fldCharType="separate"/>
        </w:r>
        <w:r w:rsidR="00F33890">
          <w:rPr>
            <w:webHidden/>
            <w:rtl/>
          </w:rPr>
          <w:t>2</w:t>
        </w:r>
        <w:r w:rsidR="00F33890">
          <w:rPr>
            <w:webHidden/>
            <w:rtl/>
          </w:rPr>
          <w:fldChar w:fldCharType="end"/>
        </w:r>
      </w:hyperlink>
    </w:p>
    <w:p w14:paraId="732FB08A" w14:textId="111A1C87" w:rsidR="00F33890" w:rsidRDefault="00E030BD" w:rsidP="00F33890">
      <w:pPr>
        <w:pStyle w:val="TOC1"/>
        <w:rPr>
          <w:rFonts w:asciiTheme="minorHAnsi" w:eastAsiaTheme="minorEastAsia" w:hAnsiTheme="minorHAnsi" w:cstheme="minorBidi"/>
          <w:bCs w:val="0"/>
          <w:noProof/>
          <w:sz w:val="22"/>
          <w:rtl/>
        </w:rPr>
      </w:pPr>
      <w:hyperlink w:anchor="_Toc61248075" w:history="1">
        <w:r w:rsidR="00F33890" w:rsidRPr="00965599">
          <w:rPr>
            <w:rStyle w:val="Hyperlink"/>
            <w:noProof/>
            <w:rtl/>
          </w:rPr>
          <w:t>טיוטת כללי ההגבלים העסקיים (פטור סוג להסדרי הלוואות משותפות) (הוראת שעה) (תיקון מס'...), התשפ"א-2021</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Toc61248075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3</w:t>
        </w:r>
        <w:r w:rsidR="00F33890">
          <w:rPr>
            <w:noProof/>
            <w:webHidden/>
            <w:rtl/>
          </w:rPr>
          <w:fldChar w:fldCharType="end"/>
        </w:r>
      </w:hyperlink>
    </w:p>
    <w:p w14:paraId="07949AF8" w14:textId="7009DAC2" w:rsidR="00F33890" w:rsidRDefault="00E030BD" w:rsidP="00F33890">
      <w:pPr>
        <w:pStyle w:val="TOC3"/>
        <w:rPr>
          <w:rFonts w:asciiTheme="minorHAnsi" w:eastAsiaTheme="minorEastAsia" w:hAnsiTheme="minorHAnsi" w:cstheme="minorBidi"/>
          <w:noProof/>
          <w:sz w:val="22"/>
          <w:rtl/>
        </w:rPr>
      </w:pPr>
      <w:hyperlink w:anchor="_Toc61248076" w:history="1">
        <w:r w:rsidR="00F33890" w:rsidRPr="00965599">
          <w:rPr>
            <w:rStyle w:val="Hyperlink"/>
            <w:noProof/>
            <w:rtl/>
          </w:rPr>
          <w:t>תיקון השם</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Toc61248076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3</w:t>
        </w:r>
        <w:r w:rsidR="00F33890">
          <w:rPr>
            <w:noProof/>
            <w:webHidden/>
            <w:rtl/>
          </w:rPr>
          <w:fldChar w:fldCharType="end"/>
        </w:r>
      </w:hyperlink>
    </w:p>
    <w:p w14:paraId="6B09C0E2" w14:textId="61058655" w:rsidR="00F33890" w:rsidRDefault="00E030BD" w:rsidP="00F33890">
      <w:pPr>
        <w:pStyle w:val="TOC3"/>
        <w:rPr>
          <w:rFonts w:asciiTheme="minorHAnsi" w:eastAsiaTheme="minorEastAsia" w:hAnsiTheme="minorHAnsi" w:cstheme="minorBidi"/>
          <w:noProof/>
          <w:sz w:val="22"/>
          <w:rtl/>
        </w:rPr>
      </w:pPr>
      <w:hyperlink w:anchor="_Toc61248077" w:history="1">
        <w:r w:rsidR="00F33890" w:rsidRPr="00965599">
          <w:rPr>
            <w:rStyle w:val="Hyperlink"/>
            <w:noProof/>
            <w:rtl/>
          </w:rPr>
          <w:t>תיקון הפתיח</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Toc61248077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3</w:t>
        </w:r>
        <w:r w:rsidR="00F33890">
          <w:rPr>
            <w:noProof/>
            <w:webHidden/>
            <w:rtl/>
          </w:rPr>
          <w:fldChar w:fldCharType="end"/>
        </w:r>
      </w:hyperlink>
    </w:p>
    <w:p w14:paraId="70397F0E" w14:textId="1E3EECD1" w:rsidR="00F33890" w:rsidRDefault="00E030BD" w:rsidP="00F33890">
      <w:pPr>
        <w:pStyle w:val="TOC3"/>
        <w:rPr>
          <w:rFonts w:asciiTheme="minorHAnsi" w:eastAsiaTheme="minorEastAsia" w:hAnsiTheme="minorHAnsi" w:cstheme="minorBidi"/>
          <w:noProof/>
          <w:sz w:val="22"/>
          <w:rtl/>
        </w:rPr>
      </w:pPr>
      <w:hyperlink w:anchor="_Toc61248078" w:history="1">
        <w:r w:rsidR="00F33890" w:rsidRPr="00965599">
          <w:rPr>
            <w:rStyle w:val="Hyperlink"/>
            <w:noProof/>
            <w:rtl/>
          </w:rPr>
          <w:t>תיקון סעיף 1</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Toc61248078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3</w:t>
        </w:r>
        <w:r w:rsidR="00F33890">
          <w:rPr>
            <w:noProof/>
            <w:webHidden/>
            <w:rtl/>
          </w:rPr>
          <w:fldChar w:fldCharType="end"/>
        </w:r>
      </w:hyperlink>
    </w:p>
    <w:p w14:paraId="68CC3E16" w14:textId="3DD6CA53" w:rsidR="00F33890" w:rsidRDefault="00E030BD" w:rsidP="00F33890">
      <w:pPr>
        <w:pStyle w:val="TOC3"/>
        <w:rPr>
          <w:rFonts w:asciiTheme="minorHAnsi" w:eastAsiaTheme="minorEastAsia" w:hAnsiTheme="minorHAnsi" w:cstheme="minorBidi"/>
          <w:noProof/>
          <w:sz w:val="22"/>
          <w:rtl/>
        </w:rPr>
      </w:pPr>
      <w:hyperlink w:anchor="_Toc61248079" w:history="1">
        <w:r w:rsidR="00F33890" w:rsidRPr="00965599">
          <w:rPr>
            <w:rStyle w:val="Hyperlink"/>
            <w:noProof/>
            <w:rtl/>
          </w:rPr>
          <w:t>תיקון סעיף 2</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Toc61248079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3</w:t>
        </w:r>
        <w:r w:rsidR="00F33890">
          <w:rPr>
            <w:noProof/>
            <w:webHidden/>
            <w:rtl/>
          </w:rPr>
          <w:fldChar w:fldCharType="end"/>
        </w:r>
      </w:hyperlink>
    </w:p>
    <w:p w14:paraId="7E76B186" w14:textId="722EBACE" w:rsidR="00F33890" w:rsidRDefault="00E030BD" w:rsidP="00F33890">
      <w:pPr>
        <w:pStyle w:val="TOC3"/>
        <w:rPr>
          <w:rFonts w:asciiTheme="minorHAnsi" w:eastAsiaTheme="minorEastAsia" w:hAnsiTheme="minorHAnsi" w:cstheme="minorBidi"/>
          <w:noProof/>
          <w:sz w:val="22"/>
          <w:rtl/>
        </w:rPr>
      </w:pPr>
      <w:hyperlink w:anchor="_Toc61248080" w:history="1">
        <w:r w:rsidR="00F33890" w:rsidRPr="00965599">
          <w:rPr>
            <w:rStyle w:val="Hyperlink"/>
            <w:noProof/>
            <w:rtl/>
          </w:rPr>
          <w:t>תוקף</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Toc61248080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4</w:t>
        </w:r>
        <w:r w:rsidR="00F33890">
          <w:rPr>
            <w:noProof/>
            <w:webHidden/>
            <w:rtl/>
          </w:rPr>
          <w:fldChar w:fldCharType="end"/>
        </w:r>
      </w:hyperlink>
    </w:p>
    <w:p w14:paraId="2A855239" w14:textId="49021CA1" w:rsidR="00F33890" w:rsidRDefault="00E030BD" w:rsidP="00F33890">
      <w:pPr>
        <w:pStyle w:val="TOC2"/>
        <w:rPr>
          <w:rFonts w:asciiTheme="minorHAnsi" w:eastAsiaTheme="minorEastAsia" w:hAnsiTheme="minorHAnsi" w:cstheme="minorBidi"/>
          <w:noProof/>
          <w:sz w:val="22"/>
          <w:rtl/>
        </w:rPr>
      </w:pPr>
      <w:hyperlink w:anchor="_Toc61248081" w:history="1">
        <w:r w:rsidR="00F33890" w:rsidRPr="00965599">
          <w:rPr>
            <w:rStyle w:val="Hyperlink"/>
            <w:noProof/>
            <w:rtl/>
          </w:rPr>
          <w:t>דברי הסבר</w:t>
        </w:r>
        <w:r w:rsidR="00F33890">
          <w:rPr>
            <w:noProof/>
            <w:webHidden/>
            <w:rtl/>
          </w:rPr>
          <w:tab/>
        </w:r>
        <w:r w:rsidR="00F33890">
          <w:rPr>
            <w:noProof/>
            <w:webHidden/>
            <w:rtl/>
          </w:rPr>
          <w:fldChar w:fldCharType="begin"/>
        </w:r>
        <w:r w:rsidR="00F33890">
          <w:rPr>
            <w:noProof/>
            <w:webHidden/>
            <w:rtl/>
          </w:rPr>
          <w:instrText xml:space="preserve"> </w:instrText>
        </w:r>
        <w:r w:rsidR="00F33890">
          <w:rPr>
            <w:noProof/>
            <w:webHidden/>
          </w:rPr>
          <w:instrText>PAGEREF</w:instrText>
        </w:r>
        <w:r w:rsidR="00F33890">
          <w:rPr>
            <w:noProof/>
            <w:webHidden/>
            <w:rtl/>
          </w:rPr>
          <w:instrText xml:space="preserve"> _</w:instrText>
        </w:r>
        <w:r w:rsidR="00F33890">
          <w:rPr>
            <w:noProof/>
            <w:webHidden/>
          </w:rPr>
          <w:instrText>Toc61248081 \h</w:instrText>
        </w:r>
        <w:r w:rsidR="00F33890">
          <w:rPr>
            <w:noProof/>
            <w:webHidden/>
            <w:rtl/>
          </w:rPr>
          <w:instrText xml:space="preserve"> </w:instrText>
        </w:r>
        <w:r w:rsidR="00F33890">
          <w:rPr>
            <w:noProof/>
            <w:webHidden/>
            <w:rtl/>
          </w:rPr>
        </w:r>
        <w:r w:rsidR="00F33890">
          <w:rPr>
            <w:noProof/>
            <w:webHidden/>
            <w:rtl/>
          </w:rPr>
          <w:fldChar w:fldCharType="separate"/>
        </w:r>
        <w:r w:rsidR="00F33890">
          <w:rPr>
            <w:noProof/>
            <w:webHidden/>
            <w:rtl/>
          </w:rPr>
          <w:t>4</w:t>
        </w:r>
        <w:r w:rsidR="00F33890">
          <w:rPr>
            <w:noProof/>
            <w:webHidden/>
            <w:rtl/>
          </w:rPr>
          <w:fldChar w:fldCharType="end"/>
        </w:r>
      </w:hyperlink>
    </w:p>
    <w:p w14:paraId="54D17802" w14:textId="7EEE4095" w:rsidR="00F33890" w:rsidRDefault="00F33890" w:rsidP="00F33890">
      <w:pPr>
        <w:rPr>
          <w:snapToGrid w:val="0"/>
          <w:rtl/>
        </w:rPr>
      </w:pPr>
      <w:r>
        <w:rPr>
          <w:rtl/>
        </w:rPr>
        <w:fldChar w:fldCharType="end"/>
      </w:r>
      <w:r>
        <w:rPr>
          <w:rtl/>
        </w:rPr>
        <w:br w:type="page"/>
      </w:r>
    </w:p>
    <w:p w14:paraId="3D5FBC6E" w14:textId="77777777" w:rsidR="003A35C0" w:rsidRDefault="003A35C0" w:rsidP="00307E94">
      <w:pPr>
        <w:pStyle w:val="Heading1"/>
        <w:keepNext w:val="0"/>
        <w:keepLines w:val="0"/>
      </w:pPr>
      <w:bookmarkStart w:id="0" w:name="_Toc61248052"/>
      <w:bookmarkStart w:id="1" w:name="_Toc61248071"/>
      <w:r>
        <w:rPr>
          <w:rtl/>
        </w:rPr>
        <w:lastRenderedPageBreak/>
        <w:t>טיוטת כללים</w:t>
      </w:r>
      <w:bookmarkEnd w:id="0"/>
      <w:bookmarkEnd w:id="1"/>
    </w:p>
    <w:p w14:paraId="1CCC9870" w14:textId="77777777" w:rsidR="003A35C0" w:rsidRDefault="003A35C0" w:rsidP="00307E94">
      <w:pPr>
        <w:rPr>
          <w:rtl/>
        </w:rPr>
      </w:pPr>
    </w:p>
    <w:p w14:paraId="7000B74F" w14:textId="77777777" w:rsidR="003A35C0" w:rsidRDefault="003A35C0" w:rsidP="00F24A78">
      <w:pPr>
        <w:pStyle w:val="Heading4"/>
        <w:rPr>
          <w:rtl/>
        </w:rPr>
      </w:pPr>
      <w:bookmarkStart w:id="2" w:name="_Toc61248072"/>
      <w:r>
        <w:rPr>
          <w:rFonts w:hint="cs"/>
          <w:rtl/>
        </w:rPr>
        <w:t>שם הכללים המוצעים</w:t>
      </w:r>
      <w:bookmarkEnd w:id="2"/>
    </w:p>
    <w:p w14:paraId="66853B7F" w14:textId="584A2797" w:rsidR="003A35C0" w:rsidRDefault="009433F4" w:rsidP="005229C6">
      <w:r>
        <w:rPr>
          <w:rFonts w:hint="cs"/>
          <w:rtl/>
        </w:rPr>
        <w:t xml:space="preserve">כללי </w:t>
      </w:r>
      <w:r w:rsidR="00DA5591">
        <w:rPr>
          <w:rFonts w:hint="cs"/>
          <w:rtl/>
        </w:rPr>
        <w:t>התחרות הכלכלית</w:t>
      </w:r>
      <w:r>
        <w:rPr>
          <w:rFonts w:hint="cs"/>
          <w:rtl/>
        </w:rPr>
        <w:t xml:space="preserve"> (פטור סוג להסדרי הלוואות משותפות)</w:t>
      </w:r>
      <w:r w:rsidR="00556FD8">
        <w:rPr>
          <w:rFonts w:hint="cs"/>
          <w:rtl/>
        </w:rPr>
        <w:t xml:space="preserve"> </w:t>
      </w:r>
      <w:r>
        <w:rPr>
          <w:rFonts w:hint="cs"/>
          <w:rtl/>
        </w:rPr>
        <w:t>(הוראת שעה)</w:t>
      </w:r>
      <w:r w:rsidR="002C287B">
        <w:rPr>
          <w:rFonts w:hint="cs"/>
          <w:rtl/>
        </w:rPr>
        <w:t xml:space="preserve"> (תיקון)</w:t>
      </w:r>
      <w:r>
        <w:rPr>
          <w:rFonts w:hint="cs"/>
          <w:rtl/>
        </w:rPr>
        <w:t>, התשפ"א-2021</w:t>
      </w:r>
    </w:p>
    <w:p w14:paraId="20486343" w14:textId="77777777" w:rsidR="003A35C0" w:rsidRPr="00556FD8" w:rsidRDefault="003A35C0" w:rsidP="00307E94">
      <w:pPr>
        <w:rPr>
          <w:rtl/>
        </w:rPr>
      </w:pPr>
    </w:p>
    <w:p w14:paraId="1414B8F1" w14:textId="77777777" w:rsidR="003A35C0" w:rsidRDefault="003A35C0" w:rsidP="00307E94">
      <w:pPr>
        <w:rPr>
          <w:rtl/>
        </w:rPr>
      </w:pPr>
    </w:p>
    <w:p w14:paraId="7A07A07B" w14:textId="77777777" w:rsidR="003A35C0" w:rsidRDefault="003A35C0" w:rsidP="009433F4">
      <w:pPr>
        <w:pStyle w:val="Heading4"/>
        <w:rPr>
          <w:rtl/>
        </w:rPr>
      </w:pPr>
      <w:bookmarkStart w:id="3" w:name="_Toc61248073"/>
      <w:r>
        <w:rPr>
          <w:rFonts w:hint="cs"/>
          <w:rtl/>
        </w:rPr>
        <w:t>מטרת הכללים המוצעים והצורך בהם</w:t>
      </w:r>
      <w:bookmarkEnd w:id="3"/>
      <w:r>
        <w:rPr>
          <w:rFonts w:hint="cs"/>
          <w:rtl/>
        </w:rPr>
        <w:t xml:space="preserve"> </w:t>
      </w:r>
    </w:p>
    <w:p w14:paraId="11A491F6" w14:textId="77777777" w:rsidR="00CA2C52" w:rsidRDefault="00556FD8" w:rsidP="009E0B90">
      <w:pPr>
        <w:rPr>
          <w:rtl/>
        </w:rPr>
      </w:pPr>
      <w:r>
        <w:rPr>
          <w:rFonts w:hint="cs"/>
          <w:rtl/>
        </w:rPr>
        <w:t>כללי ההגבלים העסקיים (פטור סוג להסדרי הלוואות משותפות) (הוראת שעה), התשע"ח-2018</w:t>
      </w:r>
      <w:r w:rsidR="00CA2C52">
        <w:rPr>
          <w:rFonts w:hint="cs"/>
          <w:rtl/>
        </w:rPr>
        <w:t xml:space="preserve"> (להלן: "פטור הסוג")</w:t>
      </w:r>
      <w:r>
        <w:rPr>
          <w:rFonts w:hint="cs"/>
          <w:rtl/>
        </w:rPr>
        <w:t xml:space="preserve"> </w:t>
      </w:r>
      <w:r w:rsidR="00CA2C52">
        <w:rPr>
          <w:rFonts w:hint="cs"/>
          <w:rtl/>
        </w:rPr>
        <w:t xml:space="preserve">עוסקים בהלוואות בהן ניתן אשראי על ידי מספר גופים פיננסיים, במשותף, ללווה ספציפי מהמגזר העסקי. </w:t>
      </w:r>
      <w:r w:rsidR="00E33B89">
        <w:rPr>
          <w:rFonts w:hint="cs"/>
          <w:rtl/>
        </w:rPr>
        <w:t xml:space="preserve">הלוואות אלו, המכונות הלוואות סינדיקציה או הלוואות קונסורציום, נפוצות בעולם העסקי והן נועדו לאפשר מימון בהיקפים גדולים. </w:t>
      </w:r>
      <w:r w:rsidR="00B700D2">
        <w:rPr>
          <w:rFonts w:hint="cs"/>
          <w:rtl/>
        </w:rPr>
        <w:t xml:space="preserve">לצד החששות התחרותיים העולים מחבירה בין מלווים לצורך </w:t>
      </w:r>
      <w:r w:rsidR="009E0B90">
        <w:rPr>
          <w:rFonts w:hint="cs"/>
          <w:rtl/>
        </w:rPr>
        <w:t xml:space="preserve">מתן </w:t>
      </w:r>
      <w:r w:rsidR="00B700D2">
        <w:rPr>
          <w:rFonts w:hint="cs"/>
          <w:rtl/>
        </w:rPr>
        <w:t>אשראי משותף, קיימים גם יתרונות הן עבור הצד הלווה והן עבור הצד המלווה.</w:t>
      </w:r>
      <w:r w:rsidR="00153312">
        <w:rPr>
          <w:rStyle w:val="FootnoteReference"/>
          <w:rtl/>
        </w:rPr>
        <w:footnoteReference w:id="1"/>
      </w:r>
      <w:r w:rsidR="00B700D2">
        <w:rPr>
          <w:rFonts w:hint="cs"/>
          <w:rtl/>
        </w:rPr>
        <w:t xml:space="preserve"> עבור הלווים, קבלת הלוואה בדרך זו מאפשרת, בין היתר, לקבל מימון בהיקפים גדולים מאד אשר לעיתים מלווה בודד לא יוכל להעמידו, או שיוכל להעמידו אך בתנאים נחותים. עבור המלווים, הלוואה משותפת מאפשרת, בין היתר, פיזור יעיל של סיכוני אשראי</w:t>
      </w:r>
      <w:r w:rsidR="00153312">
        <w:rPr>
          <w:rFonts w:hint="cs"/>
          <w:rtl/>
        </w:rPr>
        <w:t xml:space="preserve"> והקטנת עלויות עסקה. </w:t>
      </w:r>
    </w:p>
    <w:p w14:paraId="718046D5" w14:textId="59031B0C" w:rsidR="005704BF" w:rsidRDefault="009E0B90" w:rsidP="00CD60A7">
      <w:pPr>
        <w:rPr>
          <w:rtl/>
        </w:rPr>
      </w:pPr>
      <w:r>
        <w:rPr>
          <w:rFonts w:hint="cs"/>
          <w:rtl/>
        </w:rPr>
        <w:t>במסגרת התיקון מוצע לחדש את פטור הסוג לתק</w:t>
      </w:r>
      <w:r w:rsidR="00AB796A">
        <w:rPr>
          <w:rFonts w:hint="cs"/>
          <w:rtl/>
        </w:rPr>
        <w:t>ופה של 5 שנים</w:t>
      </w:r>
      <w:r w:rsidR="00235BD6">
        <w:rPr>
          <w:rFonts w:hint="cs"/>
          <w:rtl/>
        </w:rPr>
        <w:t xml:space="preserve">, זאת בהתחשב בניסיון שנצבר ברשות התחרות מאז הותקן לראשונה. כן מוצע להתאים את נוסח הוראות פטור הסוג </w:t>
      </w:r>
      <w:r w:rsidR="00440416">
        <w:rPr>
          <w:rFonts w:hint="cs"/>
          <w:rtl/>
        </w:rPr>
        <w:t xml:space="preserve">לתיקון מס' 21 לחוק התחרות הכלכלית, התשמ"ח-1988 במסגרתו שונה, בין היתר, שם </w:t>
      </w:r>
      <w:r w:rsidR="00CD60A7">
        <w:rPr>
          <w:rFonts w:hint="cs"/>
          <w:rtl/>
        </w:rPr>
        <w:t xml:space="preserve">החוק </w:t>
      </w:r>
      <w:r w:rsidR="00440416">
        <w:rPr>
          <w:rFonts w:hint="cs"/>
          <w:rtl/>
        </w:rPr>
        <w:t>מ"חוק ההגבלים העסקיים" ל"חוק התחרות הכלכלית"</w:t>
      </w:r>
      <w:r w:rsidR="00AB796A">
        <w:rPr>
          <w:rFonts w:hint="cs"/>
          <w:rtl/>
        </w:rPr>
        <w:t xml:space="preserve">. </w:t>
      </w:r>
    </w:p>
    <w:p w14:paraId="612A499F" w14:textId="3A07896F" w:rsidR="005704BF" w:rsidRDefault="00C93965" w:rsidP="006A5100">
      <w:pPr>
        <w:rPr>
          <w:rtl/>
        </w:rPr>
      </w:pPr>
      <w:r>
        <w:rPr>
          <w:rFonts w:hint="cs"/>
          <w:rtl/>
        </w:rPr>
        <w:lastRenderedPageBreak/>
        <w:t xml:space="preserve">בנוסף מוצע לערוך </w:t>
      </w:r>
      <w:r w:rsidR="006A5100">
        <w:rPr>
          <w:rFonts w:hint="cs"/>
          <w:rtl/>
        </w:rPr>
        <w:t>מספר</w:t>
      </w:r>
      <w:r>
        <w:rPr>
          <w:rFonts w:hint="cs"/>
          <w:rtl/>
        </w:rPr>
        <w:t xml:space="preserve"> תיקונים</w:t>
      </w:r>
      <w:r w:rsidR="00705762">
        <w:rPr>
          <w:rFonts w:hint="cs"/>
          <w:rtl/>
        </w:rPr>
        <w:t xml:space="preserve"> </w:t>
      </w:r>
      <w:r>
        <w:rPr>
          <w:rFonts w:hint="cs"/>
          <w:rtl/>
        </w:rPr>
        <w:t xml:space="preserve"> בפטור הסוג</w:t>
      </w:r>
      <w:r w:rsidR="006A5100">
        <w:rPr>
          <w:rFonts w:hint="cs"/>
          <w:rtl/>
        </w:rPr>
        <w:t>, שעיקרם</w:t>
      </w:r>
      <w:r>
        <w:rPr>
          <w:rFonts w:hint="cs"/>
          <w:rtl/>
        </w:rPr>
        <w:t xml:space="preserve">: </w:t>
      </w:r>
      <w:r w:rsidR="00AB796A">
        <w:rPr>
          <w:rFonts w:hint="cs"/>
          <w:rtl/>
        </w:rPr>
        <w:t xml:space="preserve">לתקן את הגדרת "מלווה" שבסעיף 1 לפטור הסוג כך שתכלול גם נותני אשראי הפועלים מכוח רישיונות שניתנו </w:t>
      </w:r>
      <w:r w:rsidR="005B6F37">
        <w:rPr>
          <w:rFonts w:hint="cs"/>
          <w:rtl/>
        </w:rPr>
        <w:t>על פי הוראות</w:t>
      </w:r>
      <w:r w:rsidR="00AB796A">
        <w:rPr>
          <w:rFonts w:hint="cs"/>
          <w:rtl/>
        </w:rPr>
        <w:t xml:space="preserve"> חוק הפיקוח על שירותים פיננסיים (שירותים פיננסיים מוסדרים)</w:t>
      </w:r>
      <w:r>
        <w:rPr>
          <w:rFonts w:hint="cs"/>
          <w:rtl/>
        </w:rPr>
        <w:t xml:space="preserve">, תשע"ו-2016; </w:t>
      </w:r>
      <w:r w:rsidR="006A5100">
        <w:rPr>
          <w:rFonts w:hint="cs"/>
          <w:rtl/>
        </w:rPr>
        <w:t>וכן</w:t>
      </w:r>
      <w:r>
        <w:rPr>
          <w:rFonts w:hint="cs"/>
          <w:rtl/>
        </w:rPr>
        <w:t xml:space="preserve">, </w:t>
      </w:r>
      <w:r w:rsidR="001C6153">
        <w:rPr>
          <w:rFonts w:hint="cs"/>
          <w:rtl/>
        </w:rPr>
        <w:t>לתקן</w:t>
      </w:r>
      <w:r>
        <w:rPr>
          <w:rFonts w:hint="cs"/>
          <w:rtl/>
        </w:rPr>
        <w:t xml:space="preserve"> את סעיף</w:t>
      </w:r>
      <w:r w:rsidR="001C6153">
        <w:rPr>
          <w:rFonts w:hint="cs"/>
          <w:rtl/>
        </w:rPr>
        <w:t xml:space="preserve"> 2(4) לפטור הסוג כך </w:t>
      </w:r>
      <w:r w:rsidR="005F05CA">
        <w:rPr>
          <w:rFonts w:hint="cs"/>
          <w:rtl/>
        </w:rPr>
        <w:t xml:space="preserve">שהסדר </w:t>
      </w:r>
      <w:r w:rsidR="001C6153">
        <w:rPr>
          <w:rFonts w:hint="cs"/>
          <w:rtl/>
        </w:rPr>
        <w:t>הלוואה משותפת הכולל שני מלווים גדו</w:t>
      </w:r>
      <w:r>
        <w:rPr>
          <w:rFonts w:hint="cs"/>
          <w:rtl/>
        </w:rPr>
        <w:t xml:space="preserve">לים שאחד מהם הוא מארגן ההלוואה </w:t>
      </w:r>
      <w:r w:rsidR="005F05CA">
        <w:rPr>
          <w:rFonts w:hint="cs"/>
          <w:rtl/>
        </w:rPr>
        <w:t xml:space="preserve">יותר רק כאשר גם </w:t>
      </w:r>
      <w:r w:rsidR="001C6153">
        <w:rPr>
          <w:rFonts w:hint="cs"/>
          <w:rtl/>
        </w:rPr>
        <w:t>השתתפות כל המלווים הגדולים ו</w:t>
      </w:r>
      <w:r w:rsidR="005F05CA">
        <w:rPr>
          <w:rFonts w:hint="cs"/>
          <w:rtl/>
        </w:rPr>
        <w:t xml:space="preserve">גם </w:t>
      </w:r>
      <w:r w:rsidR="001C6153">
        <w:rPr>
          <w:rFonts w:hint="cs"/>
          <w:rtl/>
        </w:rPr>
        <w:t xml:space="preserve">ארגון ההלוואה על ידי מי מהם נדרשים לצורך קבלת תנאי אשראי טובים יותר ללווה. </w:t>
      </w:r>
    </w:p>
    <w:p w14:paraId="2E573680" w14:textId="77777777" w:rsidR="003A35C0" w:rsidRDefault="003A35C0" w:rsidP="00153312">
      <w:pPr>
        <w:rPr>
          <w:rtl/>
        </w:rPr>
      </w:pPr>
    </w:p>
    <w:p w14:paraId="62D288E4" w14:textId="77777777" w:rsidR="003A35C0" w:rsidRDefault="003A35C0" w:rsidP="00307E94">
      <w:pPr>
        <w:rPr>
          <w:rtl/>
        </w:rPr>
      </w:pPr>
    </w:p>
    <w:p w14:paraId="41DA7C1A" w14:textId="77777777" w:rsidR="003A35C0" w:rsidRDefault="003A35C0" w:rsidP="00307E94">
      <w:pPr>
        <w:rPr>
          <w:rtl/>
        </w:rPr>
      </w:pPr>
    </w:p>
    <w:p w14:paraId="75D7D326" w14:textId="77777777" w:rsidR="003A35C0" w:rsidRDefault="003A35C0" w:rsidP="00F24A78">
      <w:pPr>
        <w:pStyle w:val="Heading4"/>
        <w:rPr>
          <w:rtl/>
        </w:rPr>
      </w:pPr>
      <w:bookmarkStart w:id="5" w:name="_Toc61248074"/>
      <w:r>
        <w:rPr>
          <w:rFonts w:hint="cs"/>
          <w:rtl/>
        </w:rPr>
        <w:t>להלן נוסח טיוטת הכללים המוצעים:</w:t>
      </w:r>
      <w:bookmarkEnd w:id="5"/>
      <w:r>
        <w:rPr>
          <w:rFonts w:hint="cs"/>
          <w:rtl/>
        </w:rPr>
        <w:t xml:space="preserve"> </w:t>
      </w:r>
    </w:p>
    <w:p w14:paraId="73CC539C" w14:textId="77777777" w:rsidR="003A35C0" w:rsidRDefault="003A35C0" w:rsidP="00307E94">
      <w:pPr>
        <w:bidi w:val="0"/>
      </w:pPr>
      <w:r>
        <w:rPr>
          <w:rtl/>
        </w:rPr>
        <w:br w:type="page"/>
      </w:r>
    </w:p>
    <w:p w14:paraId="00B07CCA" w14:textId="1D358F8C" w:rsidR="003A35C0" w:rsidRDefault="003A35C0" w:rsidP="001B3826">
      <w:pPr>
        <w:pStyle w:val="HeadHatzaotHok"/>
        <w:keepNext w:val="0"/>
        <w:keepLines w:val="0"/>
        <w:rPr>
          <w:rtl/>
        </w:rPr>
      </w:pPr>
      <w:bookmarkStart w:id="6" w:name="_Toc61248053"/>
      <w:bookmarkStart w:id="7" w:name="_Toc61248075"/>
      <w:r>
        <w:rPr>
          <w:rtl/>
        </w:rPr>
        <w:lastRenderedPageBreak/>
        <w:t xml:space="preserve">טיוטת </w:t>
      </w:r>
      <w:r w:rsidRPr="00CC4B65">
        <w:rPr>
          <w:rtl/>
        </w:rPr>
        <w:t xml:space="preserve">כללי </w:t>
      </w:r>
      <w:r w:rsidR="001B3826">
        <w:rPr>
          <w:rFonts w:hint="cs"/>
          <w:rtl/>
        </w:rPr>
        <w:t>ההגבלים העסקיים</w:t>
      </w:r>
      <w:r w:rsidR="00286F55">
        <w:rPr>
          <w:rFonts w:hint="cs"/>
          <w:rtl/>
        </w:rPr>
        <w:t xml:space="preserve"> (פטור סוג להסדרי הלוואות משותפות) (הוראת שעה) </w:t>
      </w:r>
      <w:r w:rsidR="005229C6">
        <w:rPr>
          <w:rtl/>
        </w:rPr>
        <w:t>(תיקון</w:t>
      </w:r>
      <w:r>
        <w:rPr>
          <w:rtl/>
        </w:rPr>
        <w:t>)</w:t>
      </w:r>
      <w:r w:rsidR="00286F55">
        <w:rPr>
          <w:rFonts w:hint="cs"/>
          <w:rtl/>
        </w:rPr>
        <w:t>, התשפ"א-2021</w:t>
      </w:r>
      <w:bookmarkEnd w:id="6"/>
      <w:bookmarkEnd w:id="7"/>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624"/>
        <w:gridCol w:w="6522"/>
      </w:tblGrid>
      <w:tr w:rsidR="003A35C0" w14:paraId="53276650" w14:textId="77777777" w:rsidTr="00B80E80">
        <w:trPr>
          <w:cantSplit/>
          <w:trHeight w:val="60"/>
        </w:trPr>
        <w:tc>
          <w:tcPr>
            <w:tcW w:w="1871" w:type="dxa"/>
          </w:tcPr>
          <w:p w14:paraId="0DB00144" w14:textId="77777777" w:rsidR="003A35C0" w:rsidRDefault="003A35C0">
            <w:pPr>
              <w:pStyle w:val="TableSideHeading"/>
              <w:rPr>
                <w:rtl/>
              </w:rPr>
            </w:pPr>
          </w:p>
        </w:tc>
        <w:tc>
          <w:tcPr>
            <w:tcW w:w="624" w:type="dxa"/>
          </w:tcPr>
          <w:p w14:paraId="342D43CE" w14:textId="77777777" w:rsidR="003A35C0" w:rsidRDefault="003A35C0">
            <w:pPr>
              <w:pStyle w:val="TableText"/>
            </w:pPr>
          </w:p>
        </w:tc>
        <w:tc>
          <w:tcPr>
            <w:tcW w:w="7146" w:type="dxa"/>
            <w:gridSpan w:val="2"/>
            <w:hideMark/>
          </w:tcPr>
          <w:p w14:paraId="478EFA5C" w14:textId="77777777" w:rsidR="003A35C0" w:rsidRDefault="003A35C0" w:rsidP="00CC4B65">
            <w:pPr>
              <w:pStyle w:val="TableBlock"/>
            </w:pPr>
            <w:r>
              <w:rPr>
                <w:rtl/>
              </w:rPr>
              <w:t>בתוקף סמכותי לפי סעיף</w:t>
            </w:r>
            <w:r w:rsidR="00286F55">
              <w:rPr>
                <w:rFonts w:hint="cs"/>
                <w:rtl/>
              </w:rPr>
              <w:t xml:space="preserve"> 15א לחוק </w:t>
            </w:r>
            <w:r w:rsidR="00CC4B65">
              <w:rPr>
                <w:rFonts w:hint="cs"/>
                <w:rtl/>
              </w:rPr>
              <w:t>התחרות הכלכלית</w:t>
            </w:r>
            <w:r w:rsidR="00286F55">
              <w:rPr>
                <w:rFonts w:hint="cs"/>
                <w:rtl/>
              </w:rPr>
              <w:t>, התשמ"ח-1988</w:t>
            </w:r>
            <w:r w:rsidR="0034368F">
              <w:rPr>
                <w:rStyle w:val="FootnoteReference"/>
                <w:rtl/>
              </w:rPr>
              <w:footnoteReference w:id="2"/>
            </w:r>
            <w:r w:rsidR="0034368F">
              <w:rPr>
                <w:rFonts w:hint="cs"/>
                <w:rtl/>
              </w:rPr>
              <w:t>, ובאישור הוועדה לפטורים ולמיזוגים, אני מתקינה כללי פטור סוג אלה</w:t>
            </w:r>
            <w:r>
              <w:rPr>
                <w:rtl/>
              </w:rPr>
              <w:t>:</w:t>
            </w:r>
          </w:p>
        </w:tc>
      </w:tr>
      <w:tr w:rsidR="003A35C0" w14:paraId="099B012F" w14:textId="77777777" w:rsidTr="00B80E80">
        <w:trPr>
          <w:cantSplit/>
          <w:trHeight w:val="60"/>
        </w:trPr>
        <w:tc>
          <w:tcPr>
            <w:tcW w:w="1871" w:type="dxa"/>
          </w:tcPr>
          <w:p w14:paraId="298CE6C7" w14:textId="77777777" w:rsidR="003A35C0" w:rsidRDefault="003A35C0">
            <w:pPr>
              <w:pStyle w:val="TableSideHeading"/>
            </w:pPr>
          </w:p>
        </w:tc>
        <w:tc>
          <w:tcPr>
            <w:tcW w:w="624" w:type="dxa"/>
          </w:tcPr>
          <w:p w14:paraId="1D7E205C" w14:textId="77777777" w:rsidR="003A35C0" w:rsidRDefault="003A35C0">
            <w:pPr>
              <w:pStyle w:val="TableText"/>
            </w:pPr>
          </w:p>
        </w:tc>
        <w:tc>
          <w:tcPr>
            <w:tcW w:w="7146" w:type="dxa"/>
            <w:gridSpan w:val="2"/>
          </w:tcPr>
          <w:p w14:paraId="0AAC2884" w14:textId="77777777" w:rsidR="003A35C0" w:rsidRDefault="003A35C0">
            <w:pPr>
              <w:pStyle w:val="TableHead"/>
            </w:pPr>
          </w:p>
        </w:tc>
      </w:tr>
      <w:tr w:rsidR="003A35C0" w14:paraId="042A2070" w14:textId="77777777" w:rsidTr="00B80E80">
        <w:trPr>
          <w:cantSplit/>
          <w:trHeight w:val="60"/>
        </w:trPr>
        <w:tc>
          <w:tcPr>
            <w:tcW w:w="1871" w:type="dxa"/>
          </w:tcPr>
          <w:p w14:paraId="1A892884" w14:textId="77777777" w:rsidR="003A35C0" w:rsidRDefault="0034368F">
            <w:pPr>
              <w:pStyle w:val="TableSideHeading"/>
            </w:pPr>
            <w:bookmarkStart w:id="8" w:name="_Toc61248054"/>
            <w:bookmarkStart w:id="9" w:name="_Toc61248076"/>
            <w:r>
              <w:rPr>
                <w:rFonts w:hint="cs"/>
                <w:rtl/>
              </w:rPr>
              <w:t>תיקון השם</w:t>
            </w:r>
            <w:bookmarkEnd w:id="8"/>
            <w:bookmarkEnd w:id="9"/>
          </w:p>
        </w:tc>
        <w:tc>
          <w:tcPr>
            <w:tcW w:w="624" w:type="dxa"/>
          </w:tcPr>
          <w:p w14:paraId="1AE40B86" w14:textId="77777777" w:rsidR="003A35C0" w:rsidRDefault="003A35C0" w:rsidP="003A35C0">
            <w:pPr>
              <w:pStyle w:val="TableText"/>
              <w:numPr>
                <w:ilvl w:val="0"/>
                <w:numId w:val="2"/>
              </w:numPr>
            </w:pPr>
          </w:p>
        </w:tc>
        <w:tc>
          <w:tcPr>
            <w:tcW w:w="7146" w:type="dxa"/>
            <w:gridSpan w:val="2"/>
          </w:tcPr>
          <w:p w14:paraId="399AD6AB" w14:textId="77777777" w:rsidR="003A35C0" w:rsidRDefault="0034368F">
            <w:pPr>
              <w:pStyle w:val="TableBlock"/>
            </w:pPr>
            <w:r>
              <w:rPr>
                <w:rFonts w:hint="cs"/>
                <w:rtl/>
              </w:rPr>
              <w:t>בכללי ההגבלים העסקיים (פטור סוג להסדרי הלוואות משותפות) (הוראת שעה), התשע"ח-2018</w:t>
            </w:r>
            <w:r>
              <w:rPr>
                <w:rStyle w:val="FootnoteReference"/>
                <w:rtl/>
              </w:rPr>
              <w:footnoteReference w:id="3"/>
            </w:r>
            <w:r>
              <w:rPr>
                <w:rFonts w:hint="cs"/>
                <w:rtl/>
              </w:rPr>
              <w:t xml:space="preserve"> (להלן </w:t>
            </w:r>
            <w:r>
              <w:rPr>
                <w:rtl/>
              </w:rPr>
              <w:t>–</w:t>
            </w:r>
            <w:r>
              <w:rPr>
                <w:rFonts w:hint="cs"/>
                <w:rtl/>
              </w:rPr>
              <w:t xml:space="preserve"> הכללים העיקריים) </w:t>
            </w:r>
            <w:r w:rsidR="006B1CDF">
              <w:rPr>
                <w:rFonts w:hint="cs"/>
                <w:rtl/>
              </w:rPr>
              <w:t xml:space="preserve">במקום שם הכללים העיקריים יבוא: "כללי התחרות הכלכלית (פטור סוג להסדרי הלוואות משותפות) (הוראת שעה), התשע"ח-2018". </w:t>
            </w:r>
          </w:p>
        </w:tc>
      </w:tr>
      <w:tr w:rsidR="006B1CDF" w14:paraId="6BC7CEAB" w14:textId="77777777" w:rsidTr="00B80E80">
        <w:trPr>
          <w:cantSplit/>
          <w:trHeight w:val="60"/>
        </w:trPr>
        <w:tc>
          <w:tcPr>
            <w:tcW w:w="1871" w:type="dxa"/>
          </w:tcPr>
          <w:p w14:paraId="5F2B12A5" w14:textId="77777777" w:rsidR="006B1CDF" w:rsidRDefault="006B1CDF" w:rsidP="007E751D">
            <w:pPr>
              <w:pStyle w:val="TableSideHeading"/>
              <w:keepLines w:val="0"/>
            </w:pPr>
            <w:bookmarkStart w:id="10" w:name="_Toc61248055"/>
            <w:bookmarkStart w:id="11" w:name="_Toc61248077"/>
            <w:r>
              <w:rPr>
                <w:rFonts w:hint="cs"/>
                <w:rtl/>
              </w:rPr>
              <w:t>תיקון הפתיח</w:t>
            </w:r>
            <w:bookmarkEnd w:id="10"/>
            <w:bookmarkEnd w:id="11"/>
          </w:p>
        </w:tc>
        <w:tc>
          <w:tcPr>
            <w:tcW w:w="624" w:type="dxa"/>
          </w:tcPr>
          <w:p w14:paraId="1277395B" w14:textId="77777777" w:rsidR="006B1CDF" w:rsidRDefault="006B1CDF" w:rsidP="006B1CDF">
            <w:pPr>
              <w:pStyle w:val="TableText"/>
              <w:keepLines w:val="0"/>
              <w:numPr>
                <w:ilvl w:val="0"/>
                <w:numId w:val="4"/>
              </w:numPr>
            </w:pPr>
          </w:p>
        </w:tc>
        <w:tc>
          <w:tcPr>
            <w:tcW w:w="7146" w:type="dxa"/>
            <w:gridSpan w:val="2"/>
          </w:tcPr>
          <w:p w14:paraId="02E023BD" w14:textId="77777777" w:rsidR="006B1CDF" w:rsidRPr="00C34DE2" w:rsidRDefault="006B1CDF" w:rsidP="007E751D">
            <w:pPr>
              <w:pStyle w:val="TableBlock"/>
              <w:keepLines w:val="0"/>
            </w:pPr>
            <w:r>
              <w:rPr>
                <w:rFonts w:hint="cs"/>
                <w:rtl/>
              </w:rPr>
              <w:t>בכללים העיקריים, ברישה במקום "ההגבלים העסקיים" יבוא "התחרות הכלכלית".</w:t>
            </w:r>
          </w:p>
        </w:tc>
      </w:tr>
      <w:tr w:rsidR="006B1CDF" w14:paraId="351DEFD0" w14:textId="77777777" w:rsidTr="00B80E80">
        <w:trPr>
          <w:cantSplit/>
          <w:trHeight w:val="60"/>
        </w:trPr>
        <w:tc>
          <w:tcPr>
            <w:tcW w:w="1871" w:type="dxa"/>
          </w:tcPr>
          <w:p w14:paraId="6B505B20" w14:textId="77777777" w:rsidR="006B1CDF" w:rsidRDefault="006B1CDF" w:rsidP="006B1CDF">
            <w:pPr>
              <w:pStyle w:val="TableSideHeading"/>
              <w:keepLines w:val="0"/>
            </w:pPr>
            <w:bookmarkStart w:id="12" w:name="_Toc61248056"/>
            <w:bookmarkStart w:id="13" w:name="_Toc61248078"/>
            <w:r>
              <w:rPr>
                <w:rFonts w:hint="cs"/>
                <w:rtl/>
              </w:rPr>
              <w:t>תיקון סעיף 1</w:t>
            </w:r>
            <w:bookmarkEnd w:id="12"/>
            <w:bookmarkEnd w:id="13"/>
          </w:p>
        </w:tc>
        <w:tc>
          <w:tcPr>
            <w:tcW w:w="624" w:type="dxa"/>
          </w:tcPr>
          <w:p w14:paraId="04C4C5DA" w14:textId="77777777" w:rsidR="006B1CDF" w:rsidRDefault="006B1CDF" w:rsidP="006B1CDF">
            <w:pPr>
              <w:pStyle w:val="TableText"/>
              <w:keepLines w:val="0"/>
              <w:numPr>
                <w:ilvl w:val="0"/>
                <w:numId w:val="4"/>
              </w:numPr>
            </w:pPr>
          </w:p>
        </w:tc>
        <w:tc>
          <w:tcPr>
            <w:tcW w:w="7146" w:type="dxa"/>
            <w:gridSpan w:val="2"/>
          </w:tcPr>
          <w:p w14:paraId="0BE6ECFA" w14:textId="77777777" w:rsidR="006B1CDF" w:rsidRPr="00C34DE2" w:rsidRDefault="006B1CDF" w:rsidP="006B1CDF">
            <w:pPr>
              <w:pStyle w:val="TableBlock"/>
            </w:pPr>
            <w:r>
              <w:rPr>
                <w:rFonts w:hint="cs"/>
                <w:rtl/>
              </w:rPr>
              <w:t xml:space="preserve">בסעיף 1 לכללים העיקריים - </w:t>
            </w:r>
          </w:p>
        </w:tc>
      </w:tr>
      <w:tr w:rsidR="006B1CDF" w14:paraId="5EB0BE9B" w14:textId="77777777" w:rsidTr="00B80E80">
        <w:trPr>
          <w:cantSplit/>
          <w:trHeight w:val="60"/>
        </w:trPr>
        <w:tc>
          <w:tcPr>
            <w:tcW w:w="1871" w:type="dxa"/>
          </w:tcPr>
          <w:p w14:paraId="5885D2DB" w14:textId="77777777" w:rsidR="006B1CDF" w:rsidRDefault="006B1CDF" w:rsidP="006B1CDF">
            <w:pPr>
              <w:pStyle w:val="TableSideHeading"/>
              <w:keepLines w:val="0"/>
              <w:rPr>
                <w:rtl/>
              </w:rPr>
            </w:pPr>
          </w:p>
        </w:tc>
        <w:tc>
          <w:tcPr>
            <w:tcW w:w="624" w:type="dxa"/>
          </w:tcPr>
          <w:p w14:paraId="20F702AA" w14:textId="77777777" w:rsidR="006B1CDF" w:rsidRDefault="006B1CDF" w:rsidP="006B1CDF">
            <w:pPr>
              <w:pStyle w:val="TableText"/>
            </w:pPr>
          </w:p>
        </w:tc>
        <w:tc>
          <w:tcPr>
            <w:tcW w:w="7146" w:type="dxa"/>
            <w:gridSpan w:val="2"/>
          </w:tcPr>
          <w:p w14:paraId="3F2DE4D6" w14:textId="77777777" w:rsidR="006B1CDF" w:rsidRDefault="005549E7" w:rsidP="006B1CDF">
            <w:pPr>
              <w:pStyle w:val="TableBlock"/>
              <w:numPr>
                <w:ilvl w:val="0"/>
                <w:numId w:val="21"/>
              </w:numPr>
              <w:tabs>
                <w:tab w:val="left" w:pos="624"/>
              </w:tabs>
              <w:rPr>
                <w:rtl/>
              </w:rPr>
            </w:pPr>
            <w:r>
              <w:rPr>
                <w:rFonts w:hint="cs"/>
                <w:rtl/>
              </w:rPr>
              <w:t xml:space="preserve">בהגדרה "סולק" </w:t>
            </w:r>
            <w:proofErr w:type="spellStart"/>
            <w:r>
              <w:rPr>
                <w:rFonts w:hint="cs"/>
                <w:rtl/>
              </w:rPr>
              <w:t>הרישה</w:t>
            </w:r>
            <w:proofErr w:type="spellEnd"/>
            <w:r>
              <w:rPr>
                <w:rFonts w:hint="cs"/>
                <w:rtl/>
              </w:rPr>
              <w:t xml:space="preserve"> עד המילה "לחוק" תימחק ובמקומה יבוא "</w:t>
            </w:r>
            <w:r w:rsidRPr="00CC4B65">
              <w:rPr>
                <w:rFonts w:hint="cs"/>
                <w:rtl/>
              </w:rPr>
              <w:t>כהגדרתו ב</w:t>
            </w:r>
            <w:r>
              <w:rPr>
                <w:rFonts w:hint="cs"/>
                <w:rtl/>
              </w:rPr>
              <w:t xml:space="preserve">סעיף 36ט"; </w:t>
            </w:r>
          </w:p>
        </w:tc>
      </w:tr>
      <w:tr w:rsidR="00671D29" w14:paraId="3B105835" w14:textId="77777777" w:rsidTr="00B80E80">
        <w:trPr>
          <w:cantSplit/>
          <w:trHeight w:val="60"/>
        </w:trPr>
        <w:tc>
          <w:tcPr>
            <w:tcW w:w="1871" w:type="dxa"/>
          </w:tcPr>
          <w:p w14:paraId="7B29D29D" w14:textId="77777777" w:rsidR="00671D29" w:rsidRDefault="00671D29" w:rsidP="006B1CDF">
            <w:pPr>
              <w:pStyle w:val="TableSideHeading"/>
              <w:keepLines w:val="0"/>
              <w:rPr>
                <w:rtl/>
              </w:rPr>
            </w:pPr>
          </w:p>
        </w:tc>
        <w:tc>
          <w:tcPr>
            <w:tcW w:w="624" w:type="dxa"/>
          </w:tcPr>
          <w:p w14:paraId="0E81DB22" w14:textId="77777777" w:rsidR="00671D29" w:rsidRDefault="00671D29" w:rsidP="00671D29">
            <w:pPr>
              <w:pStyle w:val="TableText"/>
            </w:pPr>
          </w:p>
        </w:tc>
        <w:tc>
          <w:tcPr>
            <w:tcW w:w="7146" w:type="dxa"/>
            <w:gridSpan w:val="2"/>
          </w:tcPr>
          <w:p w14:paraId="26C051D6" w14:textId="0A91E37C" w:rsidR="00671D29" w:rsidRDefault="00671D29" w:rsidP="006B1CDF">
            <w:pPr>
              <w:pStyle w:val="TableBlock"/>
              <w:numPr>
                <w:ilvl w:val="0"/>
                <w:numId w:val="21"/>
              </w:numPr>
              <w:tabs>
                <w:tab w:val="left" w:pos="624"/>
              </w:tabs>
              <w:rPr>
                <w:rtl/>
              </w:rPr>
            </w:pPr>
            <w:r>
              <w:rPr>
                <w:rFonts w:hint="cs"/>
                <w:rtl/>
              </w:rPr>
              <w:t>בהגדרה "מלווה" אחרי "סולק" יבוא "נותן שירותים פיננסיים מוסדרים";</w:t>
            </w:r>
          </w:p>
        </w:tc>
      </w:tr>
      <w:tr w:rsidR="005549E7" w14:paraId="6AAABA9E" w14:textId="77777777" w:rsidTr="00B80E80">
        <w:trPr>
          <w:cantSplit/>
          <w:trHeight w:val="60"/>
        </w:trPr>
        <w:tc>
          <w:tcPr>
            <w:tcW w:w="1871" w:type="dxa"/>
          </w:tcPr>
          <w:p w14:paraId="3D8D2A7C" w14:textId="77777777" w:rsidR="005549E7" w:rsidRDefault="005549E7" w:rsidP="006B1CDF">
            <w:pPr>
              <w:pStyle w:val="TableSideHeading"/>
              <w:keepLines w:val="0"/>
              <w:rPr>
                <w:rtl/>
              </w:rPr>
            </w:pPr>
          </w:p>
        </w:tc>
        <w:tc>
          <w:tcPr>
            <w:tcW w:w="624" w:type="dxa"/>
          </w:tcPr>
          <w:p w14:paraId="6BA39948" w14:textId="77777777" w:rsidR="005549E7" w:rsidRDefault="005549E7" w:rsidP="005549E7">
            <w:pPr>
              <w:pStyle w:val="TableText"/>
            </w:pPr>
          </w:p>
        </w:tc>
        <w:tc>
          <w:tcPr>
            <w:tcW w:w="7146" w:type="dxa"/>
            <w:gridSpan w:val="2"/>
          </w:tcPr>
          <w:p w14:paraId="7E3C4EDF" w14:textId="38C4B840" w:rsidR="005549E7" w:rsidRDefault="00416B8A" w:rsidP="00416B8A">
            <w:pPr>
              <w:pStyle w:val="TableBlock"/>
              <w:numPr>
                <w:ilvl w:val="0"/>
                <w:numId w:val="21"/>
              </w:numPr>
              <w:tabs>
                <w:tab w:val="left" w:pos="624"/>
              </w:tabs>
              <w:rPr>
                <w:rtl/>
              </w:rPr>
            </w:pPr>
            <w:r>
              <w:rPr>
                <w:rFonts w:hint="cs"/>
                <w:rtl/>
              </w:rPr>
              <w:t xml:space="preserve">במקום ההגדרה "מלווה גדול" יבוא: </w:t>
            </w:r>
            <w:r w:rsidR="00F12154">
              <w:rPr>
                <w:rFonts w:hint="cs"/>
                <w:rtl/>
              </w:rPr>
              <w:t xml:space="preserve">  </w:t>
            </w:r>
          </w:p>
        </w:tc>
      </w:tr>
      <w:tr w:rsidR="00416B8A" w14:paraId="1836396C" w14:textId="77777777">
        <w:trPr>
          <w:cantSplit/>
          <w:trHeight w:val="60"/>
        </w:trPr>
        <w:tc>
          <w:tcPr>
            <w:tcW w:w="1871" w:type="dxa"/>
          </w:tcPr>
          <w:p w14:paraId="45CD748F" w14:textId="77777777" w:rsidR="00416B8A" w:rsidRDefault="00416B8A">
            <w:pPr>
              <w:pStyle w:val="TableSideHeading"/>
            </w:pPr>
          </w:p>
        </w:tc>
        <w:tc>
          <w:tcPr>
            <w:tcW w:w="624" w:type="dxa"/>
          </w:tcPr>
          <w:p w14:paraId="75FD6112" w14:textId="77777777" w:rsidR="00416B8A" w:rsidRDefault="00416B8A">
            <w:pPr>
              <w:pStyle w:val="TableText"/>
            </w:pPr>
          </w:p>
        </w:tc>
        <w:tc>
          <w:tcPr>
            <w:tcW w:w="624" w:type="dxa"/>
          </w:tcPr>
          <w:p w14:paraId="1481E88D" w14:textId="77777777" w:rsidR="00416B8A" w:rsidRDefault="00416B8A">
            <w:pPr>
              <w:pStyle w:val="TableText"/>
            </w:pPr>
          </w:p>
        </w:tc>
        <w:tc>
          <w:tcPr>
            <w:tcW w:w="6522" w:type="dxa"/>
          </w:tcPr>
          <w:p w14:paraId="56C32A2F" w14:textId="6EBD712B" w:rsidR="00416B8A" w:rsidRPr="00416B8A" w:rsidRDefault="00416B8A" w:rsidP="00416B8A">
            <w:pPr>
              <w:pStyle w:val="TableBlockOutdent"/>
            </w:pPr>
            <w:r>
              <w:rPr>
                <w:rtl/>
              </w:rPr>
              <w:t>""</w:t>
            </w:r>
            <w:r w:rsidR="00851026">
              <w:rPr>
                <w:rFonts w:hint="cs"/>
                <w:rtl/>
              </w:rPr>
              <w:t xml:space="preserve">מלווה גדול" </w:t>
            </w:r>
            <w:r w:rsidR="00851026">
              <w:rPr>
                <w:rtl/>
              </w:rPr>
              <w:t>–</w:t>
            </w:r>
            <w:r w:rsidR="00851026">
              <w:rPr>
                <w:rFonts w:hint="cs"/>
                <w:rtl/>
              </w:rPr>
              <w:t xml:space="preserve"> מלווה שהיקף האשראי שניתן על ידו למגזר העסקי בישראל, עולה על שיעור של 20% מסך האשראי שניתן למגזר העסקי בישראל על ידי תאגידים בנקאיים, </w:t>
            </w:r>
            <w:proofErr w:type="spellStart"/>
            <w:r w:rsidR="00851026">
              <w:rPr>
                <w:rFonts w:hint="cs"/>
                <w:rtl/>
              </w:rPr>
              <w:t>סולקים</w:t>
            </w:r>
            <w:proofErr w:type="spellEnd"/>
            <w:r w:rsidR="00851026">
              <w:rPr>
                <w:rFonts w:hint="cs"/>
                <w:rtl/>
              </w:rPr>
              <w:t xml:space="preserve"> וגופים מוסדיים, כפי שמפורסם מעת לעת על ידי בנק ישראל";</w:t>
            </w:r>
          </w:p>
        </w:tc>
      </w:tr>
      <w:tr w:rsidR="00F2001B" w14:paraId="33CB6184" w14:textId="77777777" w:rsidTr="00B80E80">
        <w:trPr>
          <w:cantSplit/>
          <w:trHeight w:val="60"/>
        </w:trPr>
        <w:tc>
          <w:tcPr>
            <w:tcW w:w="1871" w:type="dxa"/>
          </w:tcPr>
          <w:p w14:paraId="312487AB" w14:textId="77777777" w:rsidR="00F2001B" w:rsidRDefault="00F2001B">
            <w:pPr>
              <w:pStyle w:val="TableSideHeading"/>
            </w:pPr>
          </w:p>
        </w:tc>
        <w:tc>
          <w:tcPr>
            <w:tcW w:w="624" w:type="dxa"/>
          </w:tcPr>
          <w:p w14:paraId="617578F8" w14:textId="77777777" w:rsidR="00F2001B" w:rsidRDefault="00F2001B">
            <w:pPr>
              <w:pStyle w:val="TableText"/>
            </w:pPr>
          </w:p>
        </w:tc>
        <w:tc>
          <w:tcPr>
            <w:tcW w:w="7146" w:type="dxa"/>
            <w:gridSpan w:val="2"/>
          </w:tcPr>
          <w:p w14:paraId="72AEB7BA" w14:textId="77777777" w:rsidR="00F2001B" w:rsidRPr="00C34DE2" w:rsidRDefault="00F2001B" w:rsidP="00F2001B">
            <w:pPr>
              <w:pStyle w:val="TableBlock"/>
              <w:numPr>
                <w:ilvl w:val="0"/>
                <w:numId w:val="21"/>
              </w:numPr>
              <w:tabs>
                <w:tab w:val="left" w:pos="624"/>
              </w:tabs>
            </w:pPr>
            <w:r>
              <w:rPr>
                <w:rFonts w:hint="cs"/>
                <w:rtl/>
              </w:rPr>
              <w:t xml:space="preserve">אחרי ההגדרה "מלווה גדול" יבוא: </w:t>
            </w:r>
          </w:p>
        </w:tc>
      </w:tr>
      <w:tr w:rsidR="00F2001B" w14:paraId="1A73A322" w14:textId="77777777" w:rsidTr="00B80E80">
        <w:trPr>
          <w:cantSplit/>
          <w:trHeight w:val="60"/>
        </w:trPr>
        <w:tc>
          <w:tcPr>
            <w:tcW w:w="1871" w:type="dxa"/>
          </w:tcPr>
          <w:p w14:paraId="1C68E40A" w14:textId="77777777" w:rsidR="00F2001B" w:rsidRDefault="00F2001B">
            <w:pPr>
              <w:pStyle w:val="TableSideHeading"/>
            </w:pPr>
          </w:p>
        </w:tc>
        <w:tc>
          <w:tcPr>
            <w:tcW w:w="624" w:type="dxa"/>
          </w:tcPr>
          <w:p w14:paraId="7F011A5D" w14:textId="77777777" w:rsidR="00F2001B" w:rsidRDefault="00F2001B">
            <w:pPr>
              <w:pStyle w:val="TableText"/>
            </w:pPr>
          </w:p>
        </w:tc>
        <w:tc>
          <w:tcPr>
            <w:tcW w:w="624" w:type="dxa"/>
          </w:tcPr>
          <w:p w14:paraId="685D4D9B" w14:textId="77777777" w:rsidR="00F2001B" w:rsidRDefault="00F2001B">
            <w:pPr>
              <w:pStyle w:val="TableText"/>
            </w:pPr>
          </w:p>
        </w:tc>
        <w:tc>
          <w:tcPr>
            <w:tcW w:w="6522" w:type="dxa"/>
          </w:tcPr>
          <w:p w14:paraId="5E771BD5" w14:textId="77777777" w:rsidR="00F2001B" w:rsidRPr="00F2001B" w:rsidRDefault="00F2001B" w:rsidP="00F2001B">
            <w:pPr>
              <w:pStyle w:val="TableBlockOutdent"/>
            </w:pPr>
            <w:r>
              <w:rPr>
                <w:rtl/>
              </w:rPr>
              <w:t>""</w:t>
            </w:r>
            <w:r>
              <w:rPr>
                <w:rFonts w:hint="cs"/>
                <w:rtl/>
              </w:rPr>
              <w:t xml:space="preserve">נותן שירותים פיננסיים מוסדרים" </w:t>
            </w:r>
            <w:r>
              <w:rPr>
                <w:rtl/>
              </w:rPr>
              <w:t>–</w:t>
            </w:r>
            <w:r>
              <w:rPr>
                <w:rFonts w:hint="cs"/>
                <w:rtl/>
              </w:rPr>
              <w:t xml:space="preserve"> בעל רישיון למתן שירותים פיננסיים כהגדרתו בחוק הפיקוח על שירותים פיננסיים (שירותים פיננסיים מוסדרים), התשע"ו-2016</w:t>
            </w:r>
            <w:r>
              <w:rPr>
                <w:rStyle w:val="FootnoteReference"/>
                <w:rtl/>
              </w:rPr>
              <w:footnoteReference w:id="4"/>
            </w:r>
            <w:r>
              <w:rPr>
                <w:rFonts w:hint="cs"/>
                <w:rtl/>
              </w:rPr>
              <w:t>"</w:t>
            </w:r>
          </w:p>
        </w:tc>
      </w:tr>
      <w:tr w:rsidR="00E95BDD" w14:paraId="435A42D9" w14:textId="77777777" w:rsidTr="00B80E80">
        <w:trPr>
          <w:cantSplit/>
          <w:trHeight w:val="60"/>
        </w:trPr>
        <w:tc>
          <w:tcPr>
            <w:tcW w:w="1871" w:type="dxa"/>
          </w:tcPr>
          <w:p w14:paraId="61460047" w14:textId="77777777" w:rsidR="00E95BDD" w:rsidRDefault="00FA200F" w:rsidP="007E751D">
            <w:pPr>
              <w:pStyle w:val="TableSideHeading"/>
              <w:keepLines w:val="0"/>
            </w:pPr>
            <w:bookmarkStart w:id="14" w:name="_Toc61248057"/>
            <w:bookmarkStart w:id="15" w:name="_Toc61248079"/>
            <w:r>
              <w:rPr>
                <w:rFonts w:hint="cs"/>
                <w:rtl/>
              </w:rPr>
              <w:t>תיקון סעיף</w:t>
            </w:r>
            <w:r w:rsidR="00E95BDD">
              <w:rPr>
                <w:rFonts w:hint="cs"/>
                <w:rtl/>
              </w:rPr>
              <w:t xml:space="preserve"> 2</w:t>
            </w:r>
            <w:bookmarkEnd w:id="14"/>
            <w:bookmarkEnd w:id="15"/>
          </w:p>
        </w:tc>
        <w:tc>
          <w:tcPr>
            <w:tcW w:w="624" w:type="dxa"/>
          </w:tcPr>
          <w:p w14:paraId="55859515" w14:textId="77777777" w:rsidR="00E95BDD" w:rsidRDefault="00E95BDD" w:rsidP="00E95BDD">
            <w:pPr>
              <w:pStyle w:val="TableText"/>
              <w:keepLines w:val="0"/>
              <w:numPr>
                <w:ilvl w:val="0"/>
                <w:numId w:val="4"/>
              </w:numPr>
            </w:pPr>
          </w:p>
        </w:tc>
        <w:tc>
          <w:tcPr>
            <w:tcW w:w="7146" w:type="dxa"/>
            <w:gridSpan w:val="2"/>
          </w:tcPr>
          <w:p w14:paraId="00B5390C" w14:textId="2E9448D1" w:rsidR="00E95BDD" w:rsidRPr="00C34DE2" w:rsidRDefault="00E95BDD" w:rsidP="003431A9">
            <w:pPr>
              <w:pStyle w:val="TableBlock"/>
              <w:keepLines w:val="0"/>
              <w:tabs>
                <w:tab w:val="left" w:pos="6214"/>
              </w:tabs>
            </w:pPr>
            <w:r>
              <w:rPr>
                <w:rFonts w:hint="cs"/>
                <w:rtl/>
              </w:rPr>
              <w:t xml:space="preserve">בסעיף 2 לכללים העיקריים - </w:t>
            </w:r>
          </w:p>
        </w:tc>
      </w:tr>
      <w:tr w:rsidR="00E95BDD" w14:paraId="3D9106A1" w14:textId="77777777" w:rsidTr="00B80E80">
        <w:trPr>
          <w:cantSplit/>
          <w:trHeight w:val="60"/>
        </w:trPr>
        <w:tc>
          <w:tcPr>
            <w:tcW w:w="1871" w:type="dxa"/>
          </w:tcPr>
          <w:p w14:paraId="78C34F3A" w14:textId="77777777" w:rsidR="00E95BDD" w:rsidRDefault="00E95BDD" w:rsidP="007E751D">
            <w:pPr>
              <w:pStyle w:val="TableSideHeading"/>
              <w:keepLines w:val="0"/>
              <w:rPr>
                <w:rtl/>
              </w:rPr>
            </w:pPr>
          </w:p>
        </w:tc>
        <w:tc>
          <w:tcPr>
            <w:tcW w:w="624" w:type="dxa"/>
          </w:tcPr>
          <w:p w14:paraId="77C36BEA" w14:textId="77777777" w:rsidR="00E95BDD" w:rsidRDefault="00E95BDD" w:rsidP="00E95BDD">
            <w:pPr>
              <w:pStyle w:val="TableText"/>
            </w:pPr>
          </w:p>
        </w:tc>
        <w:tc>
          <w:tcPr>
            <w:tcW w:w="7146" w:type="dxa"/>
            <w:gridSpan w:val="2"/>
          </w:tcPr>
          <w:p w14:paraId="1F0FD5FD" w14:textId="77777777" w:rsidR="00E95BDD" w:rsidRDefault="006D403F" w:rsidP="00E95BDD">
            <w:pPr>
              <w:pStyle w:val="TableBlock"/>
              <w:numPr>
                <w:ilvl w:val="0"/>
                <w:numId w:val="23"/>
              </w:numPr>
              <w:tabs>
                <w:tab w:val="left" w:pos="624"/>
              </w:tabs>
              <w:rPr>
                <w:rtl/>
              </w:rPr>
            </w:pPr>
            <w:r>
              <w:rPr>
                <w:rFonts w:hint="cs"/>
                <w:rtl/>
              </w:rPr>
              <w:t xml:space="preserve">ברישה, במקום "להגבלים עסקיים" יבוא "לתחרות"; </w:t>
            </w:r>
          </w:p>
        </w:tc>
      </w:tr>
      <w:tr w:rsidR="0065797C" w14:paraId="65448A38" w14:textId="77777777">
        <w:trPr>
          <w:cantSplit/>
          <w:trHeight w:val="60"/>
        </w:trPr>
        <w:tc>
          <w:tcPr>
            <w:tcW w:w="1871" w:type="dxa"/>
          </w:tcPr>
          <w:p w14:paraId="20BD1D8B" w14:textId="77777777" w:rsidR="0065797C" w:rsidRDefault="0065797C">
            <w:pPr>
              <w:pStyle w:val="TableSideHeading"/>
            </w:pPr>
          </w:p>
        </w:tc>
        <w:tc>
          <w:tcPr>
            <w:tcW w:w="624" w:type="dxa"/>
          </w:tcPr>
          <w:p w14:paraId="12232FEC" w14:textId="77777777" w:rsidR="0065797C" w:rsidRDefault="0065797C">
            <w:pPr>
              <w:pStyle w:val="TableText"/>
            </w:pPr>
          </w:p>
        </w:tc>
        <w:tc>
          <w:tcPr>
            <w:tcW w:w="7146" w:type="dxa"/>
            <w:gridSpan w:val="2"/>
          </w:tcPr>
          <w:p w14:paraId="6AF21CB7" w14:textId="2A4B61A6" w:rsidR="0065797C" w:rsidRPr="00C34DE2" w:rsidRDefault="00C0306D" w:rsidP="00861F79">
            <w:pPr>
              <w:pStyle w:val="TableBlock"/>
              <w:numPr>
                <w:ilvl w:val="0"/>
                <w:numId w:val="23"/>
              </w:numPr>
              <w:tabs>
                <w:tab w:val="left" w:pos="624"/>
              </w:tabs>
            </w:pPr>
            <w:r>
              <w:rPr>
                <w:rFonts w:hint="cs"/>
                <w:rtl/>
              </w:rPr>
              <w:t>בפסקת משנה</w:t>
            </w:r>
            <w:r w:rsidR="0065797C">
              <w:rPr>
                <w:rFonts w:hint="cs"/>
                <w:rtl/>
              </w:rPr>
              <w:t xml:space="preserve"> (4)</w:t>
            </w:r>
            <w:r>
              <w:rPr>
                <w:rFonts w:hint="cs"/>
                <w:rtl/>
              </w:rPr>
              <w:t>(ב) אחרי "צד להסדר" יבוא "</w:t>
            </w:r>
            <w:r w:rsidR="00662ED4">
              <w:rPr>
                <w:rFonts w:hint="cs"/>
                <w:rtl/>
              </w:rPr>
              <w:t>ו</w:t>
            </w:r>
            <w:r w:rsidR="00861F79">
              <w:rPr>
                <w:rFonts w:hint="cs"/>
                <w:rtl/>
              </w:rPr>
              <w:t>ב</w:t>
            </w:r>
            <w:r w:rsidR="00662ED4">
              <w:rPr>
                <w:rFonts w:hint="cs"/>
                <w:rtl/>
              </w:rPr>
              <w:t>לא ארגון הלוואה על ידי המלווה הגדול".</w:t>
            </w:r>
            <w:r w:rsidR="00C34393">
              <w:rPr>
                <w:rFonts w:hint="cs"/>
                <w:rtl/>
              </w:rPr>
              <w:t xml:space="preserve"> </w:t>
            </w:r>
          </w:p>
        </w:tc>
      </w:tr>
      <w:tr w:rsidR="0011103E" w14:paraId="3A545A17" w14:textId="77777777">
        <w:trPr>
          <w:cantSplit/>
          <w:trHeight w:val="60"/>
        </w:trPr>
        <w:tc>
          <w:tcPr>
            <w:tcW w:w="1871" w:type="dxa"/>
          </w:tcPr>
          <w:p w14:paraId="15CBA486" w14:textId="77777777" w:rsidR="0011103E" w:rsidRDefault="0011103E" w:rsidP="007E751D">
            <w:pPr>
              <w:pStyle w:val="TableSideHeading"/>
              <w:keepLines w:val="0"/>
            </w:pPr>
            <w:bookmarkStart w:id="16" w:name="_Toc61248058"/>
            <w:bookmarkStart w:id="17" w:name="_Toc61248080"/>
            <w:r>
              <w:rPr>
                <w:rFonts w:hint="cs"/>
                <w:rtl/>
              </w:rPr>
              <w:t>תוקף</w:t>
            </w:r>
            <w:bookmarkEnd w:id="16"/>
            <w:bookmarkEnd w:id="17"/>
          </w:p>
        </w:tc>
        <w:tc>
          <w:tcPr>
            <w:tcW w:w="624" w:type="dxa"/>
          </w:tcPr>
          <w:p w14:paraId="407374F5" w14:textId="77777777" w:rsidR="0011103E" w:rsidRDefault="0011103E" w:rsidP="0011103E">
            <w:pPr>
              <w:pStyle w:val="TableText"/>
              <w:keepLines w:val="0"/>
              <w:numPr>
                <w:ilvl w:val="0"/>
                <w:numId w:val="4"/>
              </w:numPr>
            </w:pPr>
          </w:p>
        </w:tc>
        <w:tc>
          <w:tcPr>
            <w:tcW w:w="7146" w:type="dxa"/>
            <w:gridSpan w:val="2"/>
          </w:tcPr>
          <w:p w14:paraId="285AB166" w14:textId="77777777" w:rsidR="0011103E" w:rsidRPr="00C34DE2" w:rsidRDefault="00F810F5" w:rsidP="007E751D">
            <w:pPr>
              <w:pStyle w:val="TableBlock"/>
              <w:keepLines w:val="0"/>
            </w:pPr>
            <w:r>
              <w:rPr>
                <w:rFonts w:hint="cs"/>
                <w:rtl/>
              </w:rPr>
              <w:t xml:space="preserve">תוקפם של כללים אלה לחמש שנים. </w:t>
            </w:r>
          </w:p>
        </w:tc>
      </w:tr>
    </w:tbl>
    <w:p w14:paraId="5110FB7F" w14:textId="77777777" w:rsidR="003A35C0" w:rsidRDefault="003A35C0" w:rsidP="00307E94"/>
    <w:p w14:paraId="138D1A7F" w14:textId="77777777" w:rsidR="003A35C0" w:rsidRDefault="003A35C0" w:rsidP="00307E94">
      <w:pPr>
        <w:rPr>
          <w:rtl/>
        </w:rPr>
      </w:pPr>
    </w:p>
    <w:p w14:paraId="273E2812" w14:textId="77777777" w:rsidR="003A35C0" w:rsidRDefault="003A35C0" w:rsidP="00307E94">
      <w:pPr>
        <w:rPr>
          <w:rFonts w:eastAsia="Calibri"/>
          <w:rtl/>
        </w:rPr>
      </w:pPr>
      <w:r>
        <w:rPr>
          <w:rFonts w:eastAsia="Calibri" w:hint="cs"/>
          <w:rtl/>
        </w:rPr>
        <w:t>___ ב________ התש_______ (___ ב________ ____20)</w:t>
      </w:r>
    </w:p>
    <w:p w14:paraId="1693FB48" w14:textId="77777777" w:rsidR="003A35C0" w:rsidRDefault="003A35C0" w:rsidP="00307E94">
      <w:pPr>
        <w:rPr>
          <w:rFonts w:eastAsia="Calibri"/>
          <w:rtl/>
        </w:rPr>
      </w:pPr>
      <w:r>
        <w:rPr>
          <w:rFonts w:eastAsia="Calibri" w:hint="cs"/>
          <w:rtl/>
        </w:rPr>
        <w:lastRenderedPageBreak/>
        <w:t>[תאריך עברי] ([תאריך לועזי])</w:t>
      </w:r>
    </w:p>
    <w:p w14:paraId="461BAA3C" w14:textId="77777777" w:rsidR="003A35C0" w:rsidRDefault="003A35C0" w:rsidP="00307E94">
      <w:pPr>
        <w:rPr>
          <w:rFonts w:eastAsia="Calibri"/>
          <w:rtl/>
        </w:rPr>
      </w:pPr>
      <w:r>
        <w:rPr>
          <w:rFonts w:eastAsia="Calibri" w:hint="cs"/>
          <w:rtl/>
        </w:rPr>
        <w:t>(</w:t>
      </w:r>
      <w:proofErr w:type="spellStart"/>
      <w:r>
        <w:rPr>
          <w:rFonts w:eastAsia="Calibri" w:hint="cs"/>
          <w:rtl/>
        </w:rPr>
        <w:t>חמ</w:t>
      </w:r>
      <w:proofErr w:type="spellEnd"/>
      <w:r>
        <w:rPr>
          <w:rFonts w:eastAsia="Calibri" w:hint="cs"/>
          <w:rtl/>
        </w:rPr>
        <w:t xml:space="preserve"> _____-3)</w:t>
      </w:r>
    </w:p>
    <w:p w14:paraId="2E5E98AA" w14:textId="77777777" w:rsidR="003A35C0" w:rsidRDefault="003A35C0" w:rsidP="00307E94">
      <w:pPr>
        <w:rPr>
          <w:rFonts w:eastAsia="Calibri"/>
          <w:rtl/>
        </w:rPr>
      </w:pPr>
    </w:p>
    <w:p w14:paraId="7E137591" w14:textId="77777777" w:rsidR="003A35C0" w:rsidRDefault="00F94817" w:rsidP="00307E94">
      <w:pPr>
        <w:ind w:left="5760"/>
        <w:jc w:val="center"/>
        <w:rPr>
          <w:rFonts w:eastAsia="Calibri"/>
          <w:rtl/>
        </w:rPr>
      </w:pPr>
      <w:r>
        <w:rPr>
          <w:rFonts w:eastAsia="Calibri" w:hint="cs"/>
          <w:rtl/>
        </w:rPr>
        <w:t>__________________</w:t>
      </w:r>
    </w:p>
    <w:p w14:paraId="4B922446" w14:textId="77777777" w:rsidR="003A35C0" w:rsidRDefault="00F94817" w:rsidP="00F94817">
      <w:pPr>
        <w:ind w:left="5760"/>
        <w:jc w:val="center"/>
        <w:rPr>
          <w:rFonts w:eastAsia="Calibri"/>
          <w:rtl/>
        </w:rPr>
      </w:pPr>
      <w:r>
        <w:rPr>
          <w:rFonts w:eastAsia="Calibri" w:hint="cs"/>
          <w:rtl/>
        </w:rPr>
        <w:t>מיכל הלפרין</w:t>
      </w:r>
    </w:p>
    <w:p w14:paraId="40868126" w14:textId="77777777" w:rsidR="003A35C0" w:rsidRDefault="00F94817" w:rsidP="00307E94">
      <w:pPr>
        <w:ind w:left="5760"/>
        <w:jc w:val="center"/>
        <w:rPr>
          <w:rFonts w:eastAsia="Calibri"/>
          <w:rtl/>
        </w:rPr>
      </w:pPr>
      <w:r>
        <w:rPr>
          <w:rFonts w:eastAsia="Calibri" w:hint="cs"/>
          <w:rtl/>
        </w:rPr>
        <w:t>הממונה על התחרות</w:t>
      </w:r>
    </w:p>
    <w:p w14:paraId="031561FB" w14:textId="77777777" w:rsidR="003A35C0" w:rsidRDefault="003A35C0" w:rsidP="00307E94">
      <w:pPr>
        <w:pStyle w:val="HeadDivreiHesber"/>
        <w:rPr>
          <w:rtl/>
        </w:rPr>
      </w:pPr>
      <w:bookmarkStart w:id="18" w:name="_Toc61248059"/>
      <w:bookmarkStart w:id="19" w:name="_Toc61248081"/>
      <w:r>
        <w:rPr>
          <w:rtl/>
        </w:rPr>
        <w:t>דברי הסבר</w:t>
      </w:r>
      <w:bookmarkEnd w:id="18"/>
      <w:bookmarkEnd w:id="19"/>
    </w:p>
    <w:p w14:paraId="66661EA4" w14:textId="295E18D5" w:rsidR="003431A9" w:rsidRDefault="00C93965" w:rsidP="00C93965">
      <w:pPr>
        <w:rPr>
          <w:rtl/>
        </w:rPr>
      </w:pPr>
      <w:r>
        <w:rPr>
          <w:rFonts w:hint="cs"/>
          <w:rtl/>
        </w:rPr>
        <w:t>כללי ההגבלים העסקיים (פטור סוג להסדרי הלוואות משותפות) (הוראת שעה), התשע"ח-2018 (להלן: "פטור הסוג") עוסקים בהלוואות בהן ניתן אשראי על ידי מספר גופים פיננסיים, במשותף, ללווה ספציפי מהמגזר העסקי. הלוואות אלו, המכונות הלוואות סינדיקציה או הלוואות קונסורציום, נפוצות בעולם העסקי והן נועדו לאפשר מימון בהיקפים גדולים. לצד החששות התחרותיים העולים מחבירה בין מלווים לצורך מתן אשראי משותף, קיימים גם יתרונות הן עבור הצד הלווה והן עבור הצד המלווה.</w:t>
      </w:r>
      <w:r>
        <w:rPr>
          <w:rStyle w:val="FootnoteReference"/>
          <w:rtl/>
        </w:rPr>
        <w:footnoteReference w:id="5"/>
      </w:r>
      <w:r>
        <w:rPr>
          <w:rFonts w:hint="cs"/>
          <w:rtl/>
        </w:rPr>
        <w:t xml:space="preserve"> עבור הלווים, קבלת הלוואה בדרך זו מאפשרת, בין היתר, לקבל מימון בהיקפים גדולים מאד אשר לעיתים מלווה בודד לא יוכל להעמידו, או שיוכל להעמידו אך בתנאים נחותים. עבור המלווים, הלוואה משותפת מאפשרת, בין היתר, פיזור יעיל של סיכוני אשראי והקטנת עלויות עסקה. </w:t>
      </w:r>
    </w:p>
    <w:p w14:paraId="0585B729" w14:textId="35909D85" w:rsidR="00C93965" w:rsidRDefault="00C93965" w:rsidP="003431A9">
      <w:pPr>
        <w:rPr>
          <w:rtl/>
        </w:rPr>
      </w:pPr>
      <w:r>
        <w:rPr>
          <w:rFonts w:hint="cs"/>
          <w:rtl/>
        </w:rPr>
        <w:t xml:space="preserve">במסגרת התיקון מוצע לחדש את פטור הסוג לתקופה של 5 שנים, זאת בהתחשב בניסיון שנצבר ברשות התחרות מאז הותקן לראשונה. כן מוצע להתאים את נוסח הוראות פטור הסוג לתיקון מס' 21 לחוק התחרות הכלכלית, התשמ"ח-1988 במסגרתו שונה, בין היתר, שם </w:t>
      </w:r>
      <w:r w:rsidR="003431A9">
        <w:rPr>
          <w:rFonts w:hint="cs"/>
          <w:rtl/>
        </w:rPr>
        <w:t xml:space="preserve">החוק </w:t>
      </w:r>
      <w:r>
        <w:rPr>
          <w:rFonts w:hint="cs"/>
          <w:rtl/>
        </w:rPr>
        <w:t xml:space="preserve">מ"חוק ההגבלים העסקיים" ל"חוק התחרות הכלכלית". </w:t>
      </w:r>
    </w:p>
    <w:p w14:paraId="75D063C7" w14:textId="06EE35F4" w:rsidR="00C93965" w:rsidRDefault="00C93965" w:rsidP="00705762">
      <w:pPr>
        <w:rPr>
          <w:rtl/>
        </w:rPr>
      </w:pPr>
      <w:r>
        <w:rPr>
          <w:rFonts w:hint="cs"/>
          <w:rtl/>
        </w:rPr>
        <w:lastRenderedPageBreak/>
        <w:t xml:space="preserve">בנוסף מוצע לערוך </w:t>
      </w:r>
      <w:r w:rsidR="00705762">
        <w:rPr>
          <w:rFonts w:hint="cs"/>
          <w:rtl/>
        </w:rPr>
        <w:t xml:space="preserve">תיקונים כמבואר להלן. </w:t>
      </w:r>
      <w:r>
        <w:rPr>
          <w:rFonts w:hint="cs"/>
          <w:rtl/>
        </w:rPr>
        <w:t xml:space="preserve"> </w:t>
      </w:r>
    </w:p>
    <w:p w14:paraId="7B98948C" w14:textId="77777777" w:rsidR="003431A9" w:rsidRDefault="003431A9" w:rsidP="00705762">
      <w:pPr>
        <w:rPr>
          <w:rtl/>
        </w:rPr>
      </w:pPr>
    </w:p>
    <w:p w14:paraId="5690B8DC" w14:textId="77777777" w:rsidR="005863E8" w:rsidRDefault="00C93965">
      <w:pPr>
        <w:rPr>
          <w:rtl/>
        </w:rPr>
      </w:pPr>
      <w:r>
        <w:rPr>
          <w:rFonts w:hint="cs"/>
          <w:b/>
          <w:bCs/>
          <w:rtl/>
        </w:rPr>
        <w:t>סעיף 1</w:t>
      </w:r>
    </w:p>
    <w:p w14:paraId="0910BB99" w14:textId="226164D5" w:rsidR="00C93965" w:rsidRDefault="00C93965" w:rsidP="00DD31B7">
      <w:pPr>
        <w:rPr>
          <w:rtl/>
        </w:rPr>
      </w:pPr>
      <w:r>
        <w:rPr>
          <w:rFonts w:hint="cs"/>
          <w:rtl/>
        </w:rPr>
        <w:t>מוצע לתקן את הגדרת "מלווה" כך שתכלול גם נותני אשר</w:t>
      </w:r>
      <w:r w:rsidR="00662ED4">
        <w:rPr>
          <w:rFonts w:hint="cs"/>
          <w:rtl/>
        </w:rPr>
        <w:t>א</w:t>
      </w:r>
      <w:r>
        <w:rPr>
          <w:rFonts w:hint="cs"/>
          <w:rtl/>
        </w:rPr>
        <w:t xml:space="preserve">י הפועלים מכוח רישיונות שניתנו להם בהתאם לחוק הפיקוח על שירותים פיננסיים </w:t>
      </w:r>
      <w:r w:rsidR="00705762">
        <w:rPr>
          <w:rFonts w:hint="cs"/>
          <w:rtl/>
        </w:rPr>
        <w:t xml:space="preserve">(שירותים פיננסיים מוסדרים), התשע"ו-2016, כדוגמת בעלי רישיון למתן אשראי, בעלי רישיון למתן שירותי פיקדון ואשראי ובעלי רישיון להפעלת מערכת לתיווך באשראי (להלן </w:t>
      </w:r>
      <w:r w:rsidR="00705762">
        <w:rPr>
          <w:rtl/>
        </w:rPr>
        <w:t>–</w:t>
      </w:r>
      <w:r w:rsidR="00705762">
        <w:rPr>
          <w:rFonts w:hint="cs"/>
          <w:rtl/>
        </w:rPr>
        <w:t xml:space="preserve"> "נותני שירותים פיננסיים מוסדרים"). מכיוון שגם גופים אלה עוסקים במתן אשראי, לרבות למגזר העסקי, ההצדקות אשר עומדות ביסוד פטור הסוג רלוונטיות יפות גם להם. יחד עם זאת, חישוב חלקו של המלווה מתוך סך האשר</w:t>
      </w:r>
      <w:r w:rsidR="00E82F2F">
        <w:rPr>
          <w:rFonts w:hint="cs"/>
          <w:rtl/>
        </w:rPr>
        <w:t xml:space="preserve">אי, לצורך הגדרת "מלווה גדול", ימשיך להתבסס על סך האשראי שניתן על ידי תאגידים בנקאיים, </w:t>
      </w:r>
      <w:proofErr w:type="spellStart"/>
      <w:r w:rsidR="00E82F2F">
        <w:rPr>
          <w:rFonts w:hint="cs"/>
          <w:rtl/>
        </w:rPr>
        <w:t>סולקים</w:t>
      </w:r>
      <w:proofErr w:type="spellEnd"/>
      <w:r w:rsidR="00E82F2F">
        <w:rPr>
          <w:rFonts w:hint="cs"/>
          <w:rtl/>
        </w:rPr>
        <w:t xml:space="preserve"> וגופים מוסדיים בלבד. זאת, כיוון שבנק ישראל אינו מפרסם נתונים פומביים עדכניים על אודות סך האשראי שניתן על ידי גופים אלה</w:t>
      </w:r>
      <w:r w:rsidR="00527CE0">
        <w:rPr>
          <w:rFonts w:hint="cs"/>
          <w:rtl/>
        </w:rPr>
        <w:t xml:space="preserve">, אשר ממילא צפוי להיות נמוך יחסית </w:t>
      </w:r>
      <w:r w:rsidR="009D6AF9">
        <w:rPr>
          <w:rFonts w:hint="cs"/>
          <w:rtl/>
        </w:rPr>
        <w:t>ולא להשפיע באופן מהותי</w:t>
      </w:r>
      <w:r w:rsidR="00527CE0">
        <w:rPr>
          <w:rFonts w:hint="cs"/>
          <w:rtl/>
        </w:rPr>
        <w:t xml:space="preserve"> על סך האשראי,</w:t>
      </w:r>
      <w:r w:rsidR="00E82F2F">
        <w:rPr>
          <w:rFonts w:hint="cs"/>
          <w:rtl/>
        </w:rPr>
        <w:t xml:space="preserve"> ועל מנת להקל על השחקנים הפועלים בענף. </w:t>
      </w:r>
    </w:p>
    <w:p w14:paraId="61F990BB" w14:textId="77777777" w:rsidR="00E82F2F" w:rsidRDefault="00E82F2F">
      <w:pPr>
        <w:rPr>
          <w:b/>
          <w:bCs/>
          <w:rtl/>
        </w:rPr>
      </w:pPr>
      <w:r>
        <w:rPr>
          <w:rFonts w:hint="cs"/>
          <w:b/>
          <w:bCs/>
          <w:rtl/>
        </w:rPr>
        <w:t>סעיף 2</w:t>
      </w:r>
    </w:p>
    <w:p w14:paraId="3E323FF5" w14:textId="1052D74C" w:rsidR="008B73BD" w:rsidRDefault="00D4798B" w:rsidP="00B65006">
      <w:pPr>
        <w:rPr>
          <w:rtl/>
        </w:rPr>
      </w:pPr>
      <w:r>
        <w:rPr>
          <w:rFonts w:hint="cs"/>
          <w:rtl/>
        </w:rPr>
        <w:t>השינוי המוצע בסעיף 2(4)</w:t>
      </w:r>
      <w:r w:rsidR="006C1832">
        <w:rPr>
          <w:rFonts w:hint="cs"/>
          <w:rtl/>
        </w:rPr>
        <w:t>(ב)</w:t>
      </w:r>
      <w:r>
        <w:rPr>
          <w:rFonts w:hint="cs"/>
          <w:rtl/>
        </w:rPr>
        <w:t xml:space="preserve"> נועד להבהיר כי יש להתיר הסדר הלוואה משותפת בו משתתפים שני מלווים גדולים</w:t>
      </w:r>
      <w:r w:rsidR="00DE205F">
        <w:rPr>
          <w:rFonts w:hint="cs"/>
          <w:rtl/>
        </w:rPr>
        <w:t xml:space="preserve"> </w:t>
      </w:r>
      <w:r>
        <w:rPr>
          <w:rFonts w:hint="cs"/>
          <w:rtl/>
        </w:rPr>
        <w:t xml:space="preserve">אשר אחד מהם הוא המארגן, רק כאשר </w:t>
      </w:r>
      <w:r w:rsidR="00DE205F">
        <w:rPr>
          <w:rFonts w:hint="cs"/>
          <w:rtl/>
        </w:rPr>
        <w:t xml:space="preserve">ארגון ההלוואה על ידי מלווה גדול נדרש </w:t>
      </w:r>
      <w:r>
        <w:rPr>
          <w:rFonts w:hint="cs"/>
          <w:rtl/>
        </w:rPr>
        <w:t>לצורך קבלת תנאי אשראי טובים יותר עבור הלווה. זאת,</w:t>
      </w:r>
      <w:r w:rsidR="00DE205F">
        <w:rPr>
          <w:rFonts w:hint="cs"/>
          <w:rtl/>
        </w:rPr>
        <w:t xml:space="preserve"> בנוסף </w:t>
      </w:r>
      <w:r w:rsidR="00B65006">
        <w:rPr>
          <w:rFonts w:hint="cs"/>
          <w:rtl/>
        </w:rPr>
        <w:t>לתנאי שהיה כבר קיים לפיו נדרש שהשתתפות כל המלווים הגדולים תהיה נדרשת לצורך האמור ו</w:t>
      </w:r>
      <w:r>
        <w:rPr>
          <w:rFonts w:hint="cs"/>
          <w:rtl/>
        </w:rPr>
        <w:t>נוכח החששות התחרותיים שעלולים לעלות במקרים מסוג ז</w:t>
      </w:r>
      <w:r w:rsidR="00594075">
        <w:rPr>
          <w:rFonts w:hint="cs"/>
          <w:rtl/>
        </w:rPr>
        <w:t xml:space="preserve">ה, בפרט </w:t>
      </w:r>
      <w:r w:rsidR="008B73BD">
        <w:rPr>
          <w:rFonts w:hint="cs"/>
          <w:rtl/>
        </w:rPr>
        <w:t>הפעלת כוח שוק של המלווים הגדולים כלפי הלווה</w:t>
      </w:r>
      <w:r w:rsidR="00594075">
        <w:rPr>
          <w:rFonts w:hint="cs"/>
          <w:rtl/>
        </w:rPr>
        <w:t>.</w:t>
      </w:r>
      <w:r w:rsidR="00606926">
        <w:rPr>
          <w:rFonts w:hint="cs"/>
          <w:rtl/>
        </w:rPr>
        <w:t xml:space="preserve"> </w:t>
      </w:r>
    </w:p>
    <w:p w14:paraId="21C40B1A" w14:textId="76B19FFE" w:rsidR="004135B1" w:rsidRDefault="006C1832" w:rsidP="00ED7659">
      <w:pPr>
        <w:rPr>
          <w:rtl/>
        </w:rPr>
      </w:pPr>
      <w:r>
        <w:rPr>
          <w:rFonts w:hint="cs"/>
          <w:b/>
          <w:bCs/>
          <w:rtl/>
        </w:rPr>
        <w:t>תוקף</w:t>
      </w:r>
    </w:p>
    <w:p w14:paraId="78EAB3F1" w14:textId="77777777" w:rsidR="004135B1" w:rsidRPr="004135B1" w:rsidRDefault="004135B1" w:rsidP="00CC4B65">
      <w:pPr>
        <w:rPr>
          <w:rtl/>
        </w:rPr>
      </w:pPr>
      <w:r>
        <w:rPr>
          <w:rFonts w:hint="cs"/>
          <w:rtl/>
        </w:rPr>
        <w:t>מוצע לחדש את פטור הסוג לתקופה של 5 שנים וזאת לאור הניסיון שנצבר ברשות התחרות</w:t>
      </w:r>
      <w:r w:rsidR="009F1541">
        <w:rPr>
          <w:rFonts w:hint="cs"/>
          <w:rtl/>
        </w:rPr>
        <w:t xml:space="preserve"> עד כה</w:t>
      </w:r>
      <w:r>
        <w:rPr>
          <w:rFonts w:hint="cs"/>
          <w:rtl/>
        </w:rPr>
        <w:t xml:space="preserve"> </w:t>
      </w:r>
      <w:r w:rsidR="00CC4B65">
        <w:rPr>
          <w:rFonts w:hint="cs"/>
          <w:rtl/>
        </w:rPr>
        <w:t>לפיו</w:t>
      </w:r>
      <w:r w:rsidR="009F1541">
        <w:rPr>
          <w:rFonts w:hint="cs"/>
          <w:rtl/>
        </w:rPr>
        <w:t>,</w:t>
      </w:r>
      <w:r w:rsidR="00CC4B65">
        <w:rPr>
          <w:rFonts w:hint="cs"/>
          <w:rtl/>
        </w:rPr>
        <w:t xml:space="preserve"> למיטב הידיעה</w:t>
      </w:r>
      <w:r w:rsidR="009F1541">
        <w:rPr>
          <w:rFonts w:hint="cs"/>
          <w:rtl/>
        </w:rPr>
        <w:t>,</w:t>
      </w:r>
      <w:r w:rsidR="00CC4B65">
        <w:rPr>
          <w:rFonts w:hint="cs"/>
          <w:rtl/>
        </w:rPr>
        <w:t xml:space="preserve"> </w:t>
      </w:r>
      <w:r w:rsidR="00CC4B65" w:rsidRPr="00CC4B65">
        <w:rPr>
          <w:rtl/>
        </w:rPr>
        <w:t>פטור הסוג אינו מעלה חששות לפגיעה בתחרות או בלווים</w:t>
      </w:r>
      <w:r>
        <w:rPr>
          <w:rFonts w:hint="cs"/>
          <w:rtl/>
        </w:rPr>
        <w:t xml:space="preserve">. </w:t>
      </w:r>
    </w:p>
    <w:p w14:paraId="5F061A09" w14:textId="77777777" w:rsidR="00705762" w:rsidRDefault="00705762">
      <w:pPr>
        <w:rPr>
          <w:rtl/>
        </w:rPr>
      </w:pPr>
    </w:p>
    <w:p w14:paraId="0821C448" w14:textId="77777777" w:rsidR="004135B1" w:rsidRPr="00705762" w:rsidRDefault="004135B1"/>
    <w:sectPr w:rsidR="004135B1" w:rsidRPr="00705762"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7A7AE" w14:textId="77777777" w:rsidR="00E34F30" w:rsidRDefault="00E34F30" w:rsidP="00153312">
      <w:pPr>
        <w:spacing w:line="240" w:lineRule="auto"/>
      </w:pPr>
      <w:r>
        <w:separator/>
      </w:r>
    </w:p>
  </w:endnote>
  <w:endnote w:type="continuationSeparator" w:id="0">
    <w:p w14:paraId="563D398C" w14:textId="77777777" w:rsidR="00E34F30" w:rsidRDefault="00E34F30"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6A7D3" w14:textId="77777777" w:rsidR="00E34F30" w:rsidRDefault="00E34F30" w:rsidP="00F2001B">
      <w:pPr>
        <w:spacing w:line="240" w:lineRule="auto"/>
        <w:ind w:left="0"/>
      </w:pPr>
      <w:r>
        <w:separator/>
      </w:r>
    </w:p>
  </w:footnote>
  <w:footnote w:type="continuationSeparator" w:id="0">
    <w:p w14:paraId="6B60E3B8" w14:textId="77777777" w:rsidR="00E34F30" w:rsidRDefault="00E34F30" w:rsidP="00153312">
      <w:pPr>
        <w:spacing w:line="240" w:lineRule="auto"/>
      </w:pPr>
      <w:r>
        <w:continuationSeparator/>
      </w:r>
    </w:p>
  </w:footnote>
  <w:footnote w:id="1">
    <w:p w14:paraId="2A31B688" w14:textId="178D4AFD" w:rsidR="00153312" w:rsidRDefault="00153312" w:rsidP="00E030BD">
      <w:pPr>
        <w:pStyle w:val="FootnoteText"/>
        <w:rPr>
          <w:rFonts w:hint="cs"/>
          <w:rtl/>
        </w:rPr>
      </w:pPr>
      <w:r>
        <w:rPr>
          <w:rStyle w:val="FootnoteReference"/>
        </w:rPr>
        <w:footnoteRef/>
      </w:r>
      <w:r>
        <w:rPr>
          <w:rtl/>
        </w:rPr>
        <w:t xml:space="preserve"> </w:t>
      </w:r>
      <w:r>
        <w:rPr>
          <w:rFonts w:hint="cs"/>
          <w:rtl/>
        </w:rPr>
        <w:t xml:space="preserve">ר' </w:t>
      </w:r>
      <w:r w:rsidR="009E0B90">
        <w:rPr>
          <w:rFonts w:hint="cs"/>
          <w:rtl/>
        </w:rPr>
        <w:t xml:space="preserve">דברי ההסבר ביחס לפטור הסוג באתר רשות התחרות - </w:t>
      </w:r>
      <w:hyperlink r:id="rId1" w:history="1">
        <w:r w:rsidR="00E030BD" w:rsidRPr="00281AF6">
          <w:rPr>
            <w:rStyle w:val="Hyperlink"/>
          </w:rPr>
          <w:t>https://www.gov.il/he/Departments/legalInfo/devreyhesberjoinloans</w:t>
        </w:r>
      </w:hyperlink>
      <w:r w:rsidR="00964E02" w:rsidRPr="00964E02">
        <w:rPr>
          <w:rFonts w:hint="cs"/>
          <w:rtl/>
        </w:rPr>
        <w:t xml:space="preserve">  </w:t>
      </w:r>
      <w:bookmarkStart w:id="4" w:name="_GoBack"/>
      <w:bookmarkEnd w:id="4"/>
    </w:p>
  </w:footnote>
  <w:footnote w:id="2">
    <w:p w14:paraId="50343761" w14:textId="77777777" w:rsidR="0034368F" w:rsidRDefault="0034368F">
      <w:pPr>
        <w:pStyle w:val="FootnoteText"/>
        <w:rPr>
          <w:rtl/>
        </w:rPr>
      </w:pPr>
      <w:r>
        <w:rPr>
          <w:rStyle w:val="FootnoteReference"/>
        </w:rPr>
        <w:footnoteRef/>
      </w:r>
      <w:r>
        <w:rPr>
          <w:rtl/>
        </w:rPr>
        <w:t xml:space="preserve"> </w:t>
      </w:r>
      <w:r w:rsidR="000E6627">
        <w:rPr>
          <w:rFonts w:hint="cs"/>
          <w:rtl/>
        </w:rPr>
        <w:t>ס"ח</w:t>
      </w:r>
      <w:r>
        <w:rPr>
          <w:rFonts w:hint="cs"/>
          <w:rtl/>
        </w:rPr>
        <w:t xml:space="preserve"> </w:t>
      </w:r>
      <w:proofErr w:type="spellStart"/>
      <w:r>
        <w:rPr>
          <w:rFonts w:hint="cs"/>
          <w:rtl/>
        </w:rPr>
        <w:t>התשמ"ח</w:t>
      </w:r>
      <w:proofErr w:type="spellEnd"/>
      <w:r>
        <w:rPr>
          <w:rFonts w:hint="cs"/>
          <w:rtl/>
        </w:rPr>
        <w:t xml:space="preserve">, עמ' 128; </w:t>
      </w:r>
      <w:proofErr w:type="spellStart"/>
      <w:r w:rsidR="00CC4B65">
        <w:rPr>
          <w:rFonts w:hint="cs"/>
          <w:rtl/>
        </w:rPr>
        <w:t>התש"ס</w:t>
      </w:r>
      <w:proofErr w:type="spellEnd"/>
      <w:r w:rsidR="00CC4B65">
        <w:rPr>
          <w:rFonts w:hint="cs"/>
          <w:rtl/>
        </w:rPr>
        <w:t xml:space="preserve">, עמ' 113. </w:t>
      </w:r>
    </w:p>
  </w:footnote>
  <w:footnote w:id="3">
    <w:p w14:paraId="7E3D5203" w14:textId="77777777" w:rsidR="0034368F" w:rsidRDefault="0034368F">
      <w:pPr>
        <w:pStyle w:val="FootnoteText"/>
        <w:rPr>
          <w:rtl/>
        </w:rPr>
      </w:pPr>
      <w:r>
        <w:rPr>
          <w:rStyle w:val="FootnoteReference"/>
        </w:rPr>
        <w:footnoteRef/>
      </w:r>
      <w:r>
        <w:rPr>
          <w:rtl/>
        </w:rPr>
        <w:t xml:space="preserve"> </w:t>
      </w:r>
      <w:proofErr w:type="spellStart"/>
      <w:r>
        <w:rPr>
          <w:rFonts w:hint="cs"/>
          <w:rtl/>
        </w:rPr>
        <w:t>ק"ת</w:t>
      </w:r>
      <w:proofErr w:type="spellEnd"/>
      <w:r>
        <w:rPr>
          <w:rFonts w:hint="cs"/>
          <w:rtl/>
        </w:rPr>
        <w:t xml:space="preserve"> </w:t>
      </w:r>
      <w:proofErr w:type="spellStart"/>
      <w:r>
        <w:rPr>
          <w:rFonts w:hint="cs"/>
          <w:rtl/>
        </w:rPr>
        <w:t>התשע"ח</w:t>
      </w:r>
      <w:proofErr w:type="spellEnd"/>
      <w:r>
        <w:rPr>
          <w:rFonts w:hint="cs"/>
          <w:rtl/>
        </w:rPr>
        <w:t>, עמ' 2174</w:t>
      </w:r>
      <w:r w:rsidR="00E95BDD">
        <w:rPr>
          <w:rFonts w:hint="cs"/>
          <w:rtl/>
        </w:rPr>
        <w:t xml:space="preserve">. </w:t>
      </w:r>
    </w:p>
  </w:footnote>
  <w:footnote w:id="4">
    <w:p w14:paraId="11802BC3" w14:textId="77777777" w:rsidR="00F2001B" w:rsidRDefault="00F2001B">
      <w:pPr>
        <w:pStyle w:val="FootnoteText"/>
        <w:rPr>
          <w:rtl/>
        </w:rPr>
      </w:pPr>
      <w:r>
        <w:rPr>
          <w:rStyle w:val="FootnoteReference"/>
        </w:rPr>
        <w:footnoteRef/>
      </w:r>
      <w:r>
        <w:rPr>
          <w:rtl/>
        </w:rPr>
        <w:t xml:space="preserve"> </w:t>
      </w:r>
      <w:r w:rsidR="000E6627">
        <w:rPr>
          <w:rFonts w:hint="cs"/>
          <w:rtl/>
        </w:rPr>
        <w:t xml:space="preserve">ס"ח </w:t>
      </w:r>
      <w:proofErr w:type="spellStart"/>
      <w:r w:rsidR="000E6627">
        <w:rPr>
          <w:rFonts w:hint="cs"/>
          <w:rtl/>
        </w:rPr>
        <w:t>התשע"ו</w:t>
      </w:r>
      <w:proofErr w:type="spellEnd"/>
      <w:r w:rsidR="000E6627">
        <w:rPr>
          <w:rFonts w:hint="cs"/>
          <w:rtl/>
        </w:rPr>
        <w:t>, עמ' 1098</w:t>
      </w:r>
      <w:r w:rsidR="00E95BDD">
        <w:rPr>
          <w:rFonts w:hint="cs"/>
          <w:rtl/>
        </w:rPr>
        <w:t>.</w:t>
      </w:r>
    </w:p>
  </w:footnote>
  <w:footnote w:id="5">
    <w:p w14:paraId="7D1B9640" w14:textId="2D6A3865" w:rsidR="00C93965" w:rsidRPr="00964E02" w:rsidRDefault="00C93965" w:rsidP="00964E02">
      <w:pPr>
        <w:pStyle w:val="FootnoteText"/>
        <w:rPr>
          <w:rtl/>
        </w:rPr>
      </w:pPr>
      <w:r>
        <w:rPr>
          <w:rStyle w:val="FootnoteReference"/>
        </w:rPr>
        <w:footnoteRef/>
      </w:r>
      <w:r>
        <w:rPr>
          <w:rtl/>
        </w:rPr>
        <w:t xml:space="preserve"> </w:t>
      </w:r>
      <w:r w:rsidR="00964E02">
        <w:rPr>
          <w:rFonts w:hint="cs"/>
          <w:rtl/>
        </w:rPr>
        <w:t xml:space="preserve">ר' דברי ההסבר ביחס לפטור הסוג באתר רשות התחרות - </w:t>
      </w:r>
      <w:hyperlink r:id="rId2" w:history="1">
        <w:r w:rsidR="00964E02" w:rsidRPr="00964E02">
          <w:rPr>
            <w:rStyle w:val="Hyperlink"/>
          </w:rPr>
          <w:t>https://preview.newgov.gov.il/he/Departments/legalInfo/devreyhesberjoinloans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C6F4C06"/>
    <w:multiLevelType w:val="hybridMultilevel"/>
    <w:tmpl w:val="A6D25086"/>
    <w:lvl w:ilvl="0" w:tplc="ECBEF3AC">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22"/>
  </w:num>
  <w:num w:numId="21">
    <w:abstractNumId w:val="19"/>
  </w:num>
  <w:num w:numId="22">
    <w:abstractNumId w:val="14"/>
  </w:num>
  <w:num w:numId="23">
    <w:abstractNumId w:val="20"/>
  </w:num>
  <w:num w:numId="24">
    <w:abstractNumId w:val="15"/>
  </w:num>
  <w:num w:numId="25">
    <w:abstractNumId w:val="17"/>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C3936"/>
    <w:rsid w:val="000E583D"/>
    <w:rsid w:val="000E6627"/>
    <w:rsid w:val="00102867"/>
    <w:rsid w:val="0011103E"/>
    <w:rsid w:val="00130DF3"/>
    <w:rsid w:val="00153312"/>
    <w:rsid w:val="001A6E3E"/>
    <w:rsid w:val="001B3826"/>
    <w:rsid w:val="001B6E44"/>
    <w:rsid w:val="001C0B18"/>
    <w:rsid w:val="001C6153"/>
    <w:rsid w:val="001F029A"/>
    <w:rsid w:val="00235BD6"/>
    <w:rsid w:val="002539D7"/>
    <w:rsid w:val="00267192"/>
    <w:rsid w:val="00286F55"/>
    <w:rsid w:val="002A67C0"/>
    <w:rsid w:val="002C23BC"/>
    <w:rsid w:val="002C287B"/>
    <w:rsid w:val="002C3CAB"/>
    <w:rsid w:val="002C5106"/>
    <w:rsid w:val="00310099"/>
    <w:rsid w:val="003431A9"/>
    <w:rsid w:val="0034368F"/>
    <w:rsid w:val="00397C7B"/>
    <w:rsid w:val="003A35C0"/>
    <w:rsid w:val="004135B1"/>
    <w:rsid w:val="00416B8A"/>
    <w:rsid w:val="00440416"/>
    <w:rsid w:val="00444BB9"/>
    <w:rsid w:val="004B277F"/>
    <w:rsid w:val="004D775C"/>
    <w:rsid w:val="00501382"/>
    <w:rsid w:val="00502B7A"/>
    <w:rsid w:val="005229C6"/>
    <w:rsid w:val="00527CE0"/>
    <w:rsid w:val="005549E7"/>
    <w:rsid w:val="00556FD8"/>
    <w:rsid w:val="005704BF"/>
    <w:rsid w:val="005863E8"/>
    <w:rsid w:val="00594075"/>
    <w:rsid w:val="005B6F37"/>
    <w:rsid w:val="005C1EA0"/>
    <w:rsid w:val="005D0997"/>
    <w:rsid w:val="005D6A11"/>
    <w:rsid w:val="005E7CCC"/>
    <w:rsid w:val="005F05CA"/>
    <w:rsid w:val="00606926"/>
    <w:rsid w:val="0065585A"/>
    <w:rsid w:val="0065797C"/>
    <w:rsid w:val="00662ED4"/>
    <w:rsid w:val="00671D29"/>
    <w:rsid w:val="00684C2B"/>
    <w:rsid w:val="006A5100"/>
    <w:rsid w:val="006B1CDF"/>
    <w:rsid w:val="006C1832"/>
    <w:rsid w:val="006D403F"/>
    <w:rsid w:val="0070495E"/>
    <w:rsid w:val="00705762"/>
    <w:rsid w:val="00706D5C"/>
    <w:rsid w:val="00734F58"/>
    <w:rsid w:val="00740470"/>
    <w:rsid w:val="007779D9"/>
    <w:rsid w:val="0079386D"/>
    <w:rsid w:val="007A1E34"/>
    <w:rsid w:val="007A2CB6"/>
    <w:rsid w:val="007D0B53"/>
    <w:rsid w:val="007D307A"/>
    <w:rsid w:val="00851026"/>
    <w:rsid w:val="00861F79"/>
    <w:rsid w:val="008739AA"/>
    <w:rsid w:val="008B73BD"/>
    <w:rsid w:val="008C120B"/>
    <w:rsid w:val="009433F4"/>
    <w:rsid w:val="00964E02"/>
    <w:rsid w:val="00977415"/>
    <w:rsid w:val="00985022"/>
    <w:rsid w:val="009B735E"/>
    <w:rsid w:val="009D6AF9"/>
    <w:rsid w:val="009E0B90"/>
    <w:rsid w:val="009F1541"/>
    <w:rsid w:val="00A21C0B"/>
    <w:rsid w:val="00A750DA"/>
    <w:rsid w:val="00A91778"/>
    <w:rsid w:val="00A94893"/>
    <w:rsid w:val="00AB796A"/>
    <w:rsid w:val="00AC11D2"/>
    <w:rsid w:val="00AC3A13"/>
    <w:rsid w:val="00B65006"/>
    <w:rsid w:val="00B700D2"/>
    <w:rsid w:val="00B80E80"/>
    <w:rsid w:val="00BA3935"/>
    <w:rsid w:val="00BF531C"/>
    <w:rsid w:val="00C0306D"/>
    <w:rsid w:val="00C2288F"/>
    <w:rsid w:val="00C34393"/>
    <w:rsid w:val="00C375E3"/>
    <w:rsid w:val="00C93965"/>
    <w:rsid w:val="00CA2C52"/>
    <w:rsid w:val="00CC4B65"/>
    <w:rsid w:val="00CD3211"/>
    <w:rsid w:val="00CD60A7"/>
    <w:rsid w:val="00CD7320"/>
    <w:rsid w:val="00D05AA0"/>
    <w:rsid w:val="00D12397"/>
    <w:rsid w:val="00D2360F"/>
    <w:rsid w:val="00D26214"/>
    <w:rsid w:val="00D26FA2"/>
    <w:rsid w:val="00D465B0"/>
    <w:rsid w:val="00D4798B"/>
    <w:rsid w:val="00D606C6"/>
    <w:rsid w:val="00DA5591"/>
    <w:rsid w:val="00DD31B7"/>
    <w:rsid w:val="00DD7CCB"/>
    <w:rsid w:val="00DE205F"/>
    <w:rsid w:val="00DF3CD7"/>
    <w:rsid w:val="00E030BD"/>
    <w:rsid w:val="00E33B89"/>
    <w:rsid w:val="00E34F30"/>
    <w:rsid w:val="00E37644"/>
    <w:rsid w:val="00E82F2F"/>
    <w:rsid w:val="00E95BDD"/>
    <w:rsid w:val="00EA683A"/>
    <w:rsid w:val="00ED2DA9"/>
    <w:rsid w:val="00ED3397"/>
    <w:rsid w:val="00ED7659"/>
    <w:rsid w:val="00F12154"/>
    <w:rsid w:val="00F2001B"/>
    <w:rsid w:val="00F33890"/>
    <w:rsid w:val="00F61F3C"/>
    <w:rsid w:val="00F810F5"/>
    <w:rsid w:val="00F94817"/>
    <w:rsid w:val="00FA200F"/>
    <w:rsid w:val="00FE71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890"/>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F33890"/>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F33890"/>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F33890"/>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F33890"/>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F33890"/>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890"/>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F33890"/>
    <w:rPr>
      <w:rFonts w:ascii="David" w:hAnsi="David" w:cs="David"/>
      <w:b/>
      <w:bCs/>
      <w:color w:val="000000" w:themeColor="text1"/>
      <w:sz w:val="24"/>
      <w:szCs w:val="28"/>
    </w:rPr>
  </w:style>
  <w:style w:type="paragraph" w:customStyle="1" w:styleId="TableText">
    <w:name w:val="Table Text"/>
    <w:basedOn w:val="Normal"/>
    <w:rsid w:val="00F33890"/>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F33890"/>
    <w:pPr>
      <w:outlineLvl w:val="2"/>
    </w:pPr>
  </w:style>
  <w:style w:type="paragraph" w:customStyle="1" w:styleId="TableBlock">
    <w:name w:val="Table Block"/>
    <w:basedOn w:val="TableText"/>
    <w:rsid w:val="00F33890"/>
    <w:pPr>
      <w:jc w:val="both"/>
    </w:pPr>
  </w:style>
  <w:style w:type="paragraph" w:customStyle="1" w:styleId="TableHead">
    <w:name w:val="Table Head"/>
    <w:basedOn w:val="TableText"/>
    <w:rsid w:val="00F33890"/>
    <w:pPr>
      <w:jc w:val="center"/>
      <w:outlineLvl w:val="1"/>
    </w:pPr>
    <w:rPr>
      <w:b/>
      <w:bCs/>
    </w:rPr>
  </w:style>
  <w:style w:type="paragraph" w:customStyle="1" w:styleId="HeadMitparsemetBaze">
    <w:name w:val="Head MitparsemetBaze"/>
    <w:basedOn w:val="Normal"/>
    <w:rsid w:val="00F33890"/>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F33890"/>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F33890"/>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F33890"/>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F33890"/>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F33890"/>
    <w:rPr>
      <w:rFonts w:ascii="David" w:hAnsi="David" w:cs="David"/>
      <w:color w:val="000000" w:themeColor="text1"/>
      <w:sz w:val="24"/>
      <w:szCs w:val="24"/>
    </w:rPr>
  </w:style>
  <w:style w:type="paragraph" w:customStyle="1" w:styleId="HeadHatzaotHok4Futer">
    <w:name w:val="Head HatzaotHok4Futer"/>
    <w:basedOn w:val="HeadHatzaotHok"/>
    <w:rsid w:val="00F33890"/>
    <w:pPr>
      <w:spacing w:before="120" w:after="120"/>
    </w:pPr>
    <w:rPr>
      <w:color w:val="FF0000"/>
      <w:w w:val="80"/>
    </w:rPr>
  </w:style>
  <w:style w:type="paragraph" w:styleId="EndnoteText">
    <w:name w:val="endnote text"/>
    <w:basedOn w:val="Normal"/>
    <w:link w:val="EndnoteTextChar"/>
    <w:semiHidden/>
    <w:rsid w:val="00F33890"/>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F33890"/>
    <w:pPr>
      <w:outlineLvl w:val="9"/>
    </w:pPr>
  </w:style>
  <w:style w:type="paragraph" w:customStyle="1" w:styleId="Hesber">
    <w:name w:val="Hesber"/>
    <w:basedOn w:val="Normal"/>
    <w:rsid w:val="00F33890"/>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F33890"/>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3A35C0"/>
    <w:rPr>
      <w:rFonts w:ascii="Arial" w:eastAsia="Arial Unicode MS" w:hAnsi="Arial" w:cs="David"/>
      <w:snapToGrid w:val="0"/>
      <w:sz w:val="14"/>
      <w:szCs w:val="20"/>
    </w:rPr>
  </w:style>
  <w:style w:type="character" w:styleId="FootnoteReference">
    <w:name w:val="footnote reference"/>
    <w:basedOn w:val="DefaultParagraphFont"/>
    <w:semiHidden/>
    <w:rsid w:val="00F33890"/>
    <w:rPr>
      <w:vertAlign w:val="superscript"/>
    </w:rPr>
  </w:style>
  <w:style w:type="paragraph" w:customStyle="1" w:styleId="HesberHeading">
    <w:name w:val="Hesber Heading"/>
    <w:basedOn w:val="Hesber"/>
    <w:rsid w:val="00F33890"/>
    <w:pPr>
      <w:tabs>
        <w:tab w:val="left" w:pos="624"/>
        <w:tab w:val="left" w:pos="1247"/>
      </w:tabs>
    </w:pPr>
    <w:rPr>
      <w:b/>
      <w:bCs/>
    </w:rPr>
  </w:style>
  <w:style w:type="paragraph" w:customStyle="1" w:styleId="HesberWriters">
    <w:name w:val="Hesber Writers"/>
    <w:basedOn w:val="Hesber"/>
    <w:rsid w:val="00F33890"/>
    <w:pPr>
      <w:spacing w:before="120" w:after="120"/>
      <w:ind w:left="1418"/>
      <w:jc w:val="right"/>
    </w:pPr>
    <w:rPr>
      <w:b/>
      <w:bCs/>
    </w:rPr>
  </w:style>
  <w:style w:type="paragraph" w:customStyle="1" w:styleId="Hesber1st">
    <w:name w:val="Hesber 1st"/>
    <w:basedOn w:val="Hesber"/>
    <w:rsid w:val="00F33890"/>
    <w:pPr>
      <w:tabs>
        <w:tab w:val="left" w:pos="680"/>
        <w:tab w:val="left" w:pos="1020"/>
      </w:tabs>
      <w:ind w:firstLine="0"/>
    </w:pPr>
  </w:style>
  <w:style w:type="character" w:styleId="EndnoteReference">
    <w:name w:val="endnote reference"/>
    <w:basedOn w:val="DefaultParagraphFont"/>
    <w:semiHidden/>
    <w:rsid w:val="00F33890"/>
    <w:rPr>
      <w:vertAlign w:val="superscript"/>
    </w:rPr>
  </w:style>
  <w:style w:type="paragraph" w:customStyle="1" w:styleId="TableBlockOutdent">
    <w:name w:val="Table BlockOutdent"/>
    <w:basedOn w:val="TableBlock"/>
    <w:rsid w:val="00F33890"/>
    <w:pPr>
      <w:ind w:left="624" w:hanging="624"/>
    </w:pPr>
  </w:style>
  <w:style w:type="paragraph" w:styleId="Header">
    <w:name w:val="header"/>
    <w:basedOn w:val="Normal"/>
    <w:link w:val="HeaderChar"/>
    <w:rsid w:val="00F33890"/>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F33890"/>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F33890"/>
  </w:style>
  <w:style w:type="paragraph" w:customStyle="1" w:styleId="Cover1-Reshumot">
    <w:name w:val="Cover 1-Reshumot"/>
    <w:basedOn w:val="Normal"/>
    <w:rsid w:val="00F33890"/>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F33890"/>
    <w:rPr>
      <w:sz w:val="36"/>
      <w:szCs w:val="52"/>
    </w:rPr>
  </w:style>
  <w:style w:type="paragraph" w:customStyle="1" w:styleId="Cover3-Haknesset">
    <w:name w:val="Cover 3-Haknesset"/>
    <w:basedOn w:val="Cover1-Reshumot"/>
    <w:rsid w:val="00F33890"/>
    <w:rPr>
      <w:b/>
      <w:bCs/>
      <w:spacing w:val="60"/>
    </w:rPr>
  </w:style>
  <w:style w:type="paragraph" w:customStyle="1" w:styleId="Cover4-Date">
    <w:name w:val="Cover 4-Date"/>
    <w:basedOn w:val="Normal"/>
    <w:rsid w:val="00F33890"/>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F33890"/>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F33890"/>
    <w:pPr>
      <w:widowControl/>
      <w:spacing w:before="120" w:after="120"/>
      <w:outlineLvl w:val="9"/>
    </w:pPr>
    <w:rPr>
      <w:rtl/>
      <w:cs/>
    </w:rPr>
  </w:style>
  <w:style w:type="paragraph" w:styleId="TOC1">
    <w:name w:val="toc 1"/>
    <w:basedOn w:val="Normal"/>
    <w:next w:val="Normal"/>
    <w:autoRedefine/>
    <w:uiPriority w:val="39"/>
    <w:unhideWhenUsed/>
    <w:rsid w:val="00F33890"/>
    <w:pPr>
      <w:tabs>
        <w:tab w:val="right" w:leader="dot" w:pos="9629"/>
      </w:tabs>
      <w:spacing w:after="100"/>
    </w:pPr>
    <w:rPr>
      <w:bCs/>
      <w:szCs w:val="22"/>
    </w:rPr>
  </w:style>
  <w:style w:type="paragraph" w:styleId="TOC2">
    <w:name w:val="toc 2"/>
    <w:basedOn w:val="Normal"/>
    <w:next w:val="Normal"/>
    <w:uiPriority w:val="39"/>
    <w:unhideWhenUsed/>
    <w:rsid w:val="00F33890"/>
    <w:pPr>
      <w:tabs>
        <w:tab w:val="right" w:leader="dot" w:pos="9628"/>
      </w:tabs>
      <w:spacing w:after="100"/>
    </w:pPr>
    <w:rPr>
      <w:szCs w:val="22"/>
    </w:rPr>
  </w:style>
  <w:style w:type="character" w:styleId="Hyperlink">
    <w:name w:val="Hyperlink"/>
    <w:basedOn w:val="DefaultParagraphFont"/>
    <w:uiPriority w:val="99"/>
    <w:unhideWhenUsed/>
    <w:rsid w:val="00F33890"/>
    <w:rPr>
      <w:color w:val="0563C1" w:themeColor="hyperlink"/>
      <w:u w:val="single"/>
    </w:rPr>
  </w:style>
  <w:style w:type="paragraph" w:styleId="TOC3">
    <w:name w:val="toc 3"/>
    <w:basedOn w:val="Normal"/>
    <w:next w:val="Normal"/>
    <w:uiPriority w:val="39"/>
    <w:unhideWhenUsed/>
    <w:rsid w:val="00F33890"/>
    <w:pPr>
      <w:numPr>
        <w:numId w:val="19"/>
      </w:numPr>
      <w:tabs>
        <w:tab w:val="num" w:pos="360"/>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F33890"/>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F33890"/>
    <w:pPr>
      <w:tabs>
        <w:tab w:val="right" w:leader="dot" w:pos="9628"/>
      </w:tabs>
      <w:spacing w:after="100"/>
      <w:ind w:left="567"/>
    </w:pPr>
    <w:rPr>
      <w:szCs w:val="22"/>
    </w:rPr>
  </w:style>
  <w:style w:type="paragraph" w:styleId="TOC6">
    <w:name w:val="toc 6"/>
    <w:basedOn w:val="Normal"/>
    <w:next w:val="Normal"/>
    <w:autoRedefine/>
    <w:semiHidden/>
    <w:unhideWhenUsed/>
    <w:rsid w:val="00F33890"/>
    <w:pPr>
      <w:spacing w:after="100"/>
      <w:ind w:left="850"/>
    </w:pPr>
  </w:style>
  <w:style w:type="paragraph" w:styleId="TOC7">
    <w:name w:val="toc 7"/>
    <w:basedOn w:val="Normal"/>
    <w:next w:val="Normal"/>
    <w:autoRedefine/>
    <w:semiHidden/>
    <w:unhideWhenUsed/>
    <w:rsid w:val="00F33890"/>
    <w:pPr>
      <w:spacing w:after="100"/>
      <w:ind w:left="1020"/>
    </w:pPr>
  </w:style>
  <w:style w:type="paragraph" w:styleId="TOC8">
    <w:name w:val="toc 8"/>
    <w:basedOn w:val="Normal"/>
    <w:next w:val="Normal"/>
    <w:autoRedefine/>
    <w:semiHidden/>
    <w:unhideWhenUsed/>
    <w:rsid w:val="00F33890"/>
    <w:pPr>
      <w:spacing w:after="100"/>
      <w:ind w:left="1190"/>
    </w:pPr>
  </w:style>
  <w:style w:type="paragraph" w:styleId="TOC9">
    <w:name w:val="toc 9"/>
    <w:basedOn w:val="Normal"/>
    <w:next w:val="Normal"/>
    <w:autoRedefine/>
    <w:semiHidden/>
    <w:unhideWhenUsed/>
    <w:rsid w:val="00F33890"/>
    <w:pPr>
      <w:spacing w:after="100"/>
      <w:ind w:left="1360"/>
    </w:pPr>
  </w:style>
  <w:style w:type="paragraph" w:customStyle="1" w:styleId="TableHead2">
    <w:name w:val="Table Head2"/>
    <w:basedOn w:val="TableHead"/>
    <w:qFormat/>
    <w:rsid w:val="00F33890"/>
    <w:pPr>
      <w:outlineLvl w:val="9"/>
    </w:pPr>
  </w:style>
  <w:style w:type="paragraph" w:customStyle="1" w:styleId="TableSideHeading2">
    <w:name w:val="Table SideHeading2"/>
    <w:basedOn w:val="TableSideHeading"/>
    <w:autoRedefine/>
    <w:qFormat/>
    <w:rsid w:val="00F33890"/>
    <w:pPr>
      <w:keepLines w:val="0"/>
      <w:outlineLvl w:val="9"/>
    </w:pPr>
  </w:style>
  <w:style w:type="paragraph" w:customStyle="1" w:styleId="0">
    <w:name w:val="סגנון שורה ראשונה:  0  ס''מ"/>
    <w:basedOn w:val="Heading2"/>
    <w:rsid w:val="00F33890"/>
    <w:rPr>
      <w:rFonts w:eastAsia="Times New Roman"/>
    </w:rPr>
  </w:style>
  <w:style w:type="paragraph" w:styleId="ListParagraph">
    <w:name w:val="List Paragraph"/>
    <w:basedOn w:val="Normal"/>
    <w:uiPriority w:val="34"/>
    <w:qFormat/>
    <w:rsid w:val="00F33890"/>
    <w:pPr>
      <w:widowControl/>
      <w:spacing w:line="259" w:lineRule="auto"/>
    </w:pPr>
    <w:rPr>
      <w:rFonts w:asciiTheme="minorHAnsi" w:hAnsiTheme="minorHAnsi"/>
      <w:sz w:val="22"/>
    </w:rPr>
  </w:style>
  <w:style w:type="table" w:styleId="TableGrid">
    <w:name w:val="Table Grid"/>
    <w:basedOn w:val="TableNormal"/>
    <w:rsid w:val="00F3389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33890"/>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33890"/>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F33890"/>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F33890"/>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review.newgov.gov.il/he/Departments/legalInfo/devreyhesberjoinloans" TargetMode="External"/><Relationship Id="rId1" Type="http://schemas.openxmlformats.org/officeDocument/2006/relationships/hyperlink" Target="https://www.gov.il/he/Departments/legalInfo/devreyhesberjoinloa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1108</Words>
  <Characters>5541</Characters>
  <Application>Microsoft Office Word</Application>
  <DocSecurity>4</DocSecurity>
  <Lines>46</Lines>
  <Paragraphs>13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2021-01-25T13:53:00Z</dcterms:created>
  <dcterms:modified xsi:type="dcterms:W3CDTF">2021-01-25T13:53:00Z</dcterms:modified>
</cp:coreProperties>
</file>